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211832" w:rsidRPr="0075249D" w:rsidRDefault="00DF654E" w:rsidP="00942FFB">
      <w:pPr>
        <w:jc w:val="both"/>
        <w:rPr>
          <w:rFonts w:ascii="Cambria" w:hAnsi="Cambria" w:cs="Cambria"/>
          <w:b/>
          <w:bCs/>
          <w:sz w:val="22"/>
          <w:szCs w:val="22"/>
        </w:rPr>
      </w:pPr>
      <w:r>
        <w:rPr>
          <w:noProof/>
        </w:rPr>
        <mc:AlternateContent>
          <mc:Choice Requires="wps">
            <w:drawing>
              <wp:anchor distT="0" distB="0" distL="114300" distR="114300" simplePos="0" relativeHeight="251654656" behindDoc="0" locked="0" layoutInCell="1" allowOverlap="1">
                <wp:simplePos x="0" y="0"/>
                <wp:positionH relativeFrom="column">
                  <wp:posOffset>-415925</wp:posOffset>
                </wp:positionH>
                <wp:positionV relativeFrom="paragraph">
                  <wp:posOffset>-439420</wp:posOffset>
                </wp:positionV>
                <wp:extent cx="1543050" cy="9096375"/>
                <wp:effectExtent l="0" t="0" r="0" b="0"/>
                <wp:wrapNone/>
                <wp:docPr id="9"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43050" cy="9096375"/>
                        </a:xfrm>
                        <a:prstGeom prst="rect">
                          <a:avLst/>
                        </a:prstGeom>
                        <a:solidFill>
                          <a:srgbClr val="67AE3C"/>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cx1="http://schemas.microsoft.com/office/drawing/2015/9/8/chartex" xmlns:cx="http://schemas.microsoft.com/office/drawing/2014/chartex">
            <w:pict>
              <v:rect w14:anchorId="583E6A37" id="Rectangle 1" o:spid="_x0000_s1026" style="position:absolute;margin-left:-32.75pt;margin-top:-34.6pt;width:121.5pt;height:716.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" fillcolor="#67ae3c" stroked="f" strokeweight="2pt">
                <v:path arrowok="t"/>
              </v:rect>
            </w:pict>
          </mc:Fallback>
        </mc:AlternateContent>
      </w:r>
      <w:r>
        <w:rPr>
          <w:noProof/>
        </w:rPr>
        <mc:AlternateContent>
          <mc:Choice Requires="wps">
            <w:drawing>
              <wp:anchor distT="0" distB="0" distL="114300" distR="114300" simplePos="0" relativeHeight="251658752" behindDoc="0" locked="0" layoutInCell="1" allowOverlap="1">
                <wp:simplePos x="0" y="0"/>
                <wp:positionH relativeFrom="column">
                  <wp:posOffset>1282065</wp:posOffset>
                </wp:positionH>
                <wp:positionV relativeFrom="paragraph">
                  <wp:posOffset>-424180</wp:posOffset>
                </wp:positionV>
                <wp:extent cx="5248275" cy="902335"/>
                <wp:effectExtent l="0" t="0" r="0" b="0"/>
                <wp:wrapNone/>
                <wp:docPr id="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248275" cy="902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211832" w:rsidRPr="00942FFB" w:rsidRDefault="00287CDF" w:rsidP="00942FFB">
                            <w:pPr>
                              <w:rPr>
                                <w:noProof/>
                              </w:rPr>
                            </w:pPr>
                            <w:r>
                              <w:rPr>
                                <w:noProof/>
                              </w:rPr>
                              <w:drawing>
                                <wp:inline distT="0" distB="0" distL="0" distR="0" wp14:anchorId="3CEE2986" wp14:editId="17BBE009">
                                  <wp:extent cx="2512695" cy="485140"/>
                                  <wp:effectExtent l="0" t="0" r="0" b="0"/>
                                  <wp:docPr id="7" name="Pictur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12695" cy="485140"/>
                                          </a:xfrm>
                                          <a:prstGeom prst="rect">
                                            <a:avLst/>
                                          </a:prstGeom>
                                          <a:noFill/>
                                          <a:ln>
                                            <a:noFill/>
                                          </a:ln>
                                        </pic:spPr>
                                      </pic:pic>
                                    </a:graphicData>
                                  </a:graphic>
                                </wp:inline>
                              </w:drawing>
                            </w:r>
                            <w:r w:rsidR="00211832" w:rsidRPr="00942FFB">
                              <w:rPr>
                                <w:noProof/>
                              </w:rPr>
                              <w:tab/>
                            </w:r>
                            <w:r w:rsidR="00211832">
                              <w:rPr>
                                <w:noProof/>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" filled="f" stroked="f" strokeweight=".5pt">
                <v:path arrowok="t"/>
                <v:textbox>
                  <w:txbxContent>
                    <w:p w:rsidR="00211832" w:rsidRPr="00942FFB" w:rsidRDefault="00287CDF" w:rsidP="00942FFB">
                      <w:pPr>
                        <w:rPr>
                          <w:noProof/>
                        </w:rPr>
                      </w:pPr>
                      <w:r>
                        <w:rPr>
                          <w:noProof/>
                        </w:rPr>
                        <w:drawing>
                          <wp:inline distT="0" distB="0" distL="0" distR="0" wp14:anchorId="3CEE2986" wp14:editId="17BBE009">
                            <wp:extent cx="2512695" cy="485140"/>
                            <wp:effectExtent l="0" t="0" r="0" b="0"/>
                            <wp:docPr id="7" name="Pictur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12695" cy="485140"/>
                                    </a:xfrm>
                                    <a:prstGeom prst="rect">
                                      <a:avLst/>
                                    </a:prstGeom>
                                    <a:noFill/>
                                    <a:ln>
                                      <a:noFill/>
                                    </a:ln>
                                  </pic:spPr>
                                </pic:pic>
                              </a:graphicData>
                            </a:graphic>
                          </wp:inline>
                        </w:drawing>
                      </w:r>
                      <w:r w:rsidR="00211832" w:rsidRPr="00942FFB">
                        <w:rPr>
                          <w:noProof/>
                        </w:rPr>
                        <w:tab/>
                      </w:r>
                      <w:r w:rsidR="00211832">
                        <w:rPr>
                          <w:noProof/>
                        </w:rPr>
                        <w:t xml:space="preserve"> </w:t>
                      </w:r>
                    </w:p>
                  </w:txbxContent>
                </v:textbox>
              </v:shape>
            </w:pict>
          </mc:Fallback>
        </mc:AlternateContent>
      </w:r>
    </w:p>
    <w:p w:rsidR="00211832" w:rsidRPr="0075249D" w:rsidRDefault="00211832" w:rsidP="00942FFB">
      <w:pPr>
        <w:tabs>
          <w:tab w:val="center" w:pos="5400"/>
        </w:tabs>
        <w:suppressAutoHyphens/>
        <w:jc w:val="both"/>
        <w:rPr>
          <w:rFonts w:ascii="Cambria" w:hAnsi="Cambria" w:cs="Cambria"/>
          <w:sz w:val="22"/>
          <w:szCs w:val="22"/>
        </w:rPr>
      </w:pPr>
    </w:p>
    <w:p w:rsidR="00211832" w:rsidRPr="0075249D" w:rsidRDefault="00211832" w:rsidP="00942FFB">
      <w:pPr>
        <w:tabs>
          <w:tab w:val="center" w:pos="5400"/>
        </w:tabs>
        <w:suppressAutoHyphens/>
        <w:jc w:val="both"/>
        <w:rPr>
          <w:rFonts w:ascii="Cambria" w:hAnsi="Cambria" w:cs="Cambria"/>
          <w:sz w:val="22"/>
          <w:szCs w:val="22"/>
        </w:rPr>
      </w:pPr>
    </w:p>
    <w:p w:rsidR="00211832" w:rsidRPr="0075249D" w:rsidRDefault="00211832" w:rsidP="00942FFB">
      <w:pPr>
        <w:tabs>
          <w:tab w:val="center" w:pos="5400"/>
        </w:tabs>
        <w:suppressAutoHyphens/>
        <w:rPr>
          <w:rFonts w:ascii="Cambria" w:hAnsi="Cambria" w:cs="Cambria"/>
          <w:sz w:val="22"/>
          <w:szCs w:val="22"/>
        </w:rPr>
      </w:pPr>
    </w:p>
    <w:p w:rsidR="00211832" w:rsidRPr="0075249D" w:rsidRDefault="00211832" w:rsidP="00942FFB">
      <w:pPr>
        <w:tabs>
          <w:tab w:val="center" w:pos="5400"/>
        </w:tabs>
        <w:suppressAutoHyphens/>
        <w:rPr>
          <w:rFonts w:ascii="Cambria" w:hAnsi="Cambria" w:cs="Cambria"/>
          <w:sz w:val="22"/>
          <w:szCs w:val="22"/>
        </w:rPr>
      </w:pPr>
    </w:p>
    <w:p w:rsidR="00211832" w:rsidRPr="0075249D" w:rsidRDefault="00211832" w:rsidP="00942FFB">
      <w:pPr>
        <w:tabs>
          <w:tab w:val="center" w:pos="5400"/>
        </w:tabs>
        <w:suppressAutoHyphens/>
        <w:rPr>
          <w:rFonts w:ascii="Cambria" w:hAnsi="Cambria" w:cs="Cambria"/>
          <w:sz w:val="22"/>
          <w:szCs w:val="22"/>
        </w:rPr>
      </w:pPr>
    </w:p>
    <w:p w:rsidR="00211832" w:rsidRPr="0075249D" w:rsidRDefault="00211832" w:rsidP="00942FFB">
      <w:pPr>
        <w:tabs>
          <w:tab w:val="center" w:pos="5400"/>
        </w:tabs>
        <w:suppressAutoHyphens/>
        <w:jc w:val="center"/>
        <w:rPr>
          <w:rFonts w:ascii="Cambria" w:hAnsi="Cambria" w:cs="Cambria"/>
          <w:sz w:val="22"/>
          <w:szCs w:val="22"/>
        </w:rPr>
      </w:pPr>
    </w:p>
    <w:p w:rsidR="00211832" w:rsidRPr="0075249D" w:rsidRDefault="00211832" w:rsidP="00942FFB">
      <w:pPr>
        <w:tabs>
          <w:tab w:val="center" w:pos="5400"/>
        </w:tabs>
        <w:suppressAutoHyphens/>
        <w:jc w:val="center"/>
        <w:rPr>
          <w:rFonts w:ascii="Cambria" w:hAnsi="Cambria" w:cs="Cambria"/>
          <w:sz w:val="22"/>
          <w:szCs w:val="22"/>
        </w:rPr>
      </w:pPr>
    </w:p>
    <w:p w:rsidR="00211832" w:rsidRPr="0075249D" w:rsidRDefault="00211832" w:rsidP="00942FFB">
      <w:pPr>
        <w:tabs>
          <w:tab w:val="center" w:pos="5400"/>
        </w:tabs>
        <w:suppressAutoHyphens/>
        <w:jc w:val="center"/>
        <w:rPr>
          <w:rFonts w:ascii="Cambria" w:hAnsi="Cambria" w:cs="Cambria"/>
          <w:sz w:val="22"/>
          <w:szCs w:val="22"/>
        </w:rPr>
      </w:pPr>
    </w:p>
    <w:p w:rsidR="00211832" w:rsidRPr="0075249D" w:rsidRDefault="00211832" w:rsidP="00942FFB">
      <w:pPr>
        <w:tabs>
          <w:tab w:val="center" w:pos="5400"/>
        </w:tabs>
        <w:suppressAutoHyphens/>
        <w:jc w:val="center"/>
        <w:rPr>
          <w:rFonts w:ascii="Cambria" w:hAnsi="Cambria" w:cs="Cambria"/>
          <w:sz w:val="22"/>
          <w:szCs w:val="22"/>
        </w:rPr>
      </w:pPr>
    </w:p>
    <w:p w:rsidR="00211832" w:rsidRPr="0075249D" w:rsidRDefault="00211832" w:rsidP="00942FFB">
      <w:pPr>
        <w:tabs>
          <w:tab w:val="center" w:pos="5400"/>
        </w:tabs>
        <w:suppressAutoHyphens/>
        <w:jc w:val="center"/>
        <w:rPr>
          <w:rFonts w:ascii="Cambria" w:hAnsi="Cambria" w:cs="Cambria"/>
          <w:sz w:val="22"/>
          <w:szCs w:val="22"/>
        </w:rPr>
      </w:pPr>
    </w:p>
    <w:p w:rsidR="00211832" w:rsidRPr="0075249D" w:rsidRDefault="00211832" w:rsidP="00942FFB">
      <w:pPr>
        <w:tabs>
          <w:tab w:val="center" w:pos="5400"/>
        </w:tabs>
        <w:suppressAutoHyphens/>
        <w:jc w:val="center"/>
        <w:rPr>
          <w:rFonts w:ascii="Cambria" w:hAnsi="Cambria" w:cs="Cambria"/>
          <w:sz w:val="22"/>
          <w:szCs w:val="22"/>
        </w:rPr>
      </w:pPr>
    </w:p>
    <w:p w:rsidR="00211832" w:rsidRPr="0075249D" w:rsidRDefault="00211832" w:rsidP="00942FFB">
      <w:pPr>
        <w:tabs>
          <w:tab w:val="center" w:pos="5400"/>
        </w:tabs>
        <w:suppressAutoHyphens/>
        <w:jc w:val="center"/>
        <w:rPr>
          <w:rFonts w:ascii="Cambria" w:hAnsi="Cambria" w:cs="Cambria"/>
          <w:sz w:val="22"/>
          <w:szCs w:val="22"/>
        </w:rPr>
      </w:pPr>
    </w:p>
    <w:p w:rsidR="00211832" w:rsidRPr="0075249D" w:rsidRDefault="00DF654E" w:rsidP="00942FFB">
      <w:pPr>
        <w:tabs>
          <w:tab w:val="center" w:pos="5400"/>
        </w:tabs>
        <w:suppressAutoHyphens/>
        <w:jc w:val="center"/>
        <w:rPr>
          <w:rFonts w:ascii="Cambria" w:hAnsi="Cambria" w:cs="Cambria"/>
          <w:sz w:val="22"/>
          <w:szCs w:val="22"/>
        </w:rPr>
      </w:pPr>
      <w:r>
        <w:rPr>
          <w:noProof/>
        </w:rPr>
        <mc:AlternateContent>
          <mc:Choice Requires="wps">
            <w:drawing>
              <wp:anchor distT="0" distB="0" distL="114300" distR="114300" simplePos="0" relativeHeight="251655680" behindDoc="0" locked="0" layoutInCell="1" allowOverlap="1">
                <wp:simplePos x="0" y="0"/>
                <wp:positionH relativeFrom="column">
                  <wp:posOffset>1352550</wp:posOffset>
                </wp:positionH>
                <wp:positionV relativeFrom="paragraph">
                  <wp:posOffset>107315</wp:posOffset>
                </wp:positionV>
                <wp:extent cx="4441190" cy="2181225"/>
                <wp:effectExtent l="0" t="0" r="0"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441190" cy="2181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211832" w:rsidRPr="00E2787F" w:rsidRDefault="00287CDF" w:rsidP="00942FFB">
                            <w:pPr>
                              <w:spacing w:line="276" w:lineRule="auto"/>
                              <w:rPr>
                                <w:rFonts w:ascii="Cambria" w:hAnsi="Cambria" w:cs="Cambria"/>
                                <w:b/>
                                <w:bCs/>
                                <w:color w:val="0D0D0D"/>
                                <w:sz w:val="36"/>
                                <w:szCs w:val="36"/>
                              </w:rPr>
                            </w:pPr>
                            <w:r>
                              <w:rPr>
                                <w:rFonts w:ascii="Cambria" w:hAnsi="Cambria" w:cs="Cambria"/>
                                <w:b/>
                                <w:bCs/>
                                <w:color w:val="0D0D0D"/>
                                <w:sz w:val="36"/>
                                <w:szCs w:val="36"/>
                              </w:rPr>
                              <w:t>REPORT No. 117</w:t>
                            </w:r>
                            <w:r w:rsidR="00211832" w:rsidRPr="00E2787F">
                              <w:rPr>
                                <w:rFonts w:ascii="Cambria" w:hAnsi="Cambria" w:cs="Cambria"/>
                                <w:b/>
                                <w:bCs/>
                                <w:color w:val="0D0D0D"/>
                                <w:sz w:val="36"/>
                                <w:szCs w:val="36"/>
                              </w:rPr>
                              <w:t>/20</w:t>
                            </w:r>
                          </w:p>
                          <w:p w:rsidR="00211832" w:rsidRPr="00E2787F" w:rsidRDefault="00211832" w:rsidP="00942FFB">
                            <w:pPr>
                              <w:spacing w:line="276" w:lineRule="auto"/>
                              <w:rPr>
                                <w:rFonts w:ascii="Cambria" w:hAnsi="Cambria" w:cs="Cambria"/>
                                <w:b/>
                                <w:bCs/>
                                <w:color w:val="0D0D0D"/>
                                <w:sz w:val="36"/>
                                <w:szCs w:val="36"/>
                              </w:rPr>
                            </w:pPr>
                            <w:r w:rsidRPr="00E2787F">
                              <w:rPr>
                                <w:rFonts w:ascii="Cambria" w:hAnsi="Cambria" w:cs="Cambria"/>
                                <w:b/>
                                <w:bCs/>
                                <w:color w:val="0D0D0D"/>
                                <w:sz w:val="36"/>
                                <w:szCs w:val="36"/>
                              </w:rPr>
                              <w:t xml:space="preserve">PETITION 457-09 </w:t>
                            </w:r>
                          </w:p>
                          <w:p w:rsidR="00211832" w:rsidRPr="00E2787F" w:rsidRDefault="00211832" w:rsidP="00942FFB">
                            <w:pPr>
                              <w:spacing w:line="276" w:lineRule="auto"/>
                              <w:rPr>
                                <w:rFonts w:ascii="Cambria" w:hAnsi="Cambria" w:cs="Cambria"/>
                                <w:color w:val="0D0D0D"/>
                              </w:rPr>
                            </w:pPr>
                            <w:r w:rsidRPr="00E2787F">
                              <w:rPr>
                                <w:rFonts w:ascii="Cambria" w:hAnsi="Cambria" w:cs="Cambria"/>
                                <w:color w:val="0D0D0D"/>
                              </w:rPr>
                              <w:t xml:space="preserve">REPORT ON ADMISSIBILITY </w:t>
                            </w:r>
                          </w:p>
                          <w:p w:rsidR="00211832" w:rsidRPr="00E2787F" w:rsidRDefault="00211832" w:rsidP="00942FFB">
                            <w:pPr>
                              <w:spacing w:line="276" w:lineRule="auto"/>
                              <w:rPr>
                                <w:rFonts w:ascii="Cambria" w:hAnsi="Cambria" w:cs="Cambria"/>
                                <w:color w:val="0D0D0D"/>
                              </w:rPr>
                            </w:pPr>
                            <w:bookmarkStart w:id="1" w:name="_ftnref1"/>
                          </w:p>
                          <w:p w:rsidR="00211832" w:rsidRPr="00E2787F" w:rsidRDefault="00211832" w:rsidP="00942FFB">
                            <w:pPr>
                              <w:spacing w:line="276" w:lineRule="auto"/>
                              <w:rPr>
                                <w:rFonts w:ascii="Cambria" w:hAnsi="Cambria" w:cs="Cambria"/>
                                <w:color w:val="0D0D0D"/>
                              </w:rPr>
                            </w:pPr>
                            <w:r w:rsidRPr="00E2787F">
                              <w:rPr>
                                <w:rFonts w:ascii="Cambria" w:hAnsi="Cambria" w:cs="Cambria"/>
                                <w:color w:val="0D0D0D"/>
                              </w:rPr>
                              <w:t>MARGARETH FIGUEIREDO ALVES</w:t>
                            </w:r>
                          </w:p>
                          <w:bookmarkEnd w:id="1"/>
                          <w:p w:rsidR="00211832" w:rsidRPr="00E2787F" w:rsidRDefault="00211832" w:rsidP="00942FFB">
                            <w:pPr>
                              <w:spacing w:line="276" w:lineRule="auto"/>
                              <w:rPr>
                                <w:rFonts w:ascii="Cambria" w:hAnsi="Cambria" w:cs="Cambria"/>
                                <w:color w:val="0D0D0D"/>
                              </w:rPr>
                            </w:pPr>
                            <w:r w:rsidRPr="00E2787F">
                              <w:rPr>
                                <w:rFonts w:ascii="Cambria" w:hAnsi="Cambria" w:cs="Cambria"/>
                                <w:color w:val="0D0D0D"/>
                              </w:rPr>
                              <w:t>BRAZIL</w:t>
                            </w:r>
                          </w:p>
                          <w:p w:rsidR="00211832" w:rsidRPr="00E2787F" w:rsidRDefault="00211832" w:rsidP="00942FFB">
                            <w:pPr>
                              <w:rPr>
                                <w:color w:val="0D0D0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id="Text Box 5" o:spid="_x0000_s1027" type="#_x0000_t202" style="position:absolute;left:0;text-align:left;margin-left:106.5pt;margin-top:8.45pt;width:349.7pt;height:171.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" filled="f" stroked="f" strokeweight=".5pt">
                <v:path arrowok="t"/>
                <v:textbox>
                  <w:txbxContent>
                    <w:p w:rsidR="00211832" w:rsidRPr="00E2787F" w:rsidRDefault="00287CDF" w:rsidP="00942FFB">
                      <w:pPr>
                        <w:spacing w:line="276" w:lineRule="auto"/>
                        <w:rPr>
                          <w:rFonts w:ascii="Cambria" w:hAnsi="Cambria" w:cs="Cambria"/>
                          <w:b/>
                          <w:bCs/>
                          <w:color w:val="0D0D0D"/>
                          <w:sz w:val="36"/>
                          <w:szCs w:val="36"/>
                        </w:rPr>
                      </w:pPr>
                      <w:r>
                        <w:rPr>
                          <w:rFonts w:ascii="Cambria" w:hAnsi="Cambria" w:cs="Cambria"/>
                          <w:b/>
                          <w:bCs/>
                          <w:color w:val="0D0D0D"/>
                          <w:sz w:val="36"/>
                          <w:szCs w:val="36"/>
                        </w:rPr>
                        <w:t>REPORT No. 117</w:t>
                      </w:r>
                      <w:r w:rsidR="00211832" w:rsidRPr="00E2787F">
                        <w:rPr>
                          <w:rFonts w:ascii="Cambria" w:hAnsi="Cambria" w:cs="Cambria"/>
                          <w:b/>
                          <w:bCs/>
                          <w:color w:val="0D0D0D"/>
                          <w:sz w:val="36"/>
                          <w:szCs w:val="36"/>
                        </w:rPr>
                        <w:t>/20</w:t>
                      </w:r>
                    </w:p>
                    <w:p w:rsidR="00211832" w:rsidRPr="00E2787F" w:rsidRDefault="00211832" w:rsidP="00942FFB">
                      <w:pPr>
                        <w:spacing w:line="276" w:lineRule="auto"/>
                        <w:rPr>
                          <w:rFonts w:ascii="Cambria" w:hAnsi="Cambria" w:cs="Cambria"/>
                          <w:b/>
                          <w:bCs/>
                          <w:color w:val="0D0D0D"/>
                          <w:sz w:val="36"/>
                          <w:szCs w:val="36"/>
                        </w:rPr>
                      </w:pPr>
                      <w:r w:rsidRPr="00E2787F">
                        <w:rPr>
                          <w:rFonts w:ascii="Cambria" w:hAnsi="Cambria" w:cs="Cambria"/>
                          <w:b/>
                          <w:bCs/>
                          <w:color w:val="0D0D0D"/>
                          <w:sz w:val="36"/>
                          <w:szCs w:val="36"/>
                        </w:rPr>
                        <w:t xml:space="preserve">PETITION 457-09 </w:t>
                      </w:r>
                    </w:p>
                    <w:p w:rsidR="00211832" w:rsidRPr="00E2787F" w:rsidRDefault="00211832" w:rsidP="00942FFB">
                      <w:pPr>
                        <w:spacing w:line="276" w:lineRule="auto"/>
                        <w:rPr>
                          <w:rFonts w:ascii="Cambria" w:hAnsi="Cambria" w:cs="Cambria"/>
                          <w:color w:val="0D0D0D"/>
                        </w:rPr>
                      </w:pPr>
                      <w:r w:rsidRPr="00E2787F">
                        <w:rPr>
                          <w:rFonts w:ascii="Cambria" w:hAnsi="Cambria" w:cs="Cambria"/>
                          <w:color w:val="0D0D0D"/>
                        </w:rPr>
                        <w:t xml:space="preserve">REPORT ON ADMISSIBILITY </w:t>
                      </w:r>
                    </w:p>
                    <w:p w:rsidR="00211832" w:rsidRPr="00E2787F" w:rsidRDefault="00211832" w:rsidP="00942FFB">
                      <w:pPr>
                        <w:spacing w:line="276" w:lineRule="auto"/>
                        <w:rPr>
                          <w:rFonts w:ascii="Cambria" w:hAnsi="Cambria" w:cs="Cambria"/>
                          <w:color w:val="0D0D0D"/>
                        </w:rPr>
                      </w:pPr>
                      <w:bookmarkStart w:id="1" w:name="_ftnref1"/>
                    </w:p>
                    <w:p w:rsidR="00211832" w:rsidRPr="00E2787F" w:rsidRDefault="00211832" w:rsidP="00942FFB">
                      <w:pPr>
                        <w:spacing w:line="276" w:lineRule="auto"/>
                        <w:rPr>
                          <w:rFonts w:ascii="Cambria" w:hAnsi="Cambria" w:cs="Cambria"/>
                          <w:color w:val="0D0D0D"/>
                        </w:rPr>
                      </w:pPr>
                      <w:r w:rsidRPr="00E2787F">
                        <w:rPr>
                          <w:rFonts w:ascii="Cambria" w:hAnsi="Cambria" w:cs="Cambria"/>
                          <w:color w:val="0D0D0D"/>
                        </w:rPr>
                        <w:t>MARGARETH FIGUEIREDO ALVES</w:t>
                      </w:r>
                    </w:p>
                    <w:bookmarkEnd w:id="1"/>
                    <w:p w:rsidR="00211832" w:rsidRPr="00E2787F" w:rsidRDefault="00211832" w:rsidP="00942FFB">
                      <w:pPr>
                        <w:spacing w:line="276" w:lineRule="auto"/>
                        <w:rPr>
                          <w:rFonts w:ascii="Cambria" w:hAnsi="Cambria" w:cs="Cambria"/>
                          <w:color w:val="0D0D0D"/>
                        </w:rPr>
                      </w:pPr>
                      <w:r w:rsidRPr="00E2787F">
                        <w:rPr>
                          <w:rFonts w:ascii="Cambria" w:hAnsi="Cambria" w:cs="Cambria"/>
                          <w:color w:val="0D0D0D"/>
                        </w:rPr>
                        <w:t>BRAZIL</w:t>
                      </w:r>
                    </w:p>
                    <w:p w:rsidR="00211832" w:rsidRPr="00E2787F" w:rsidRDefault="00211832" w:rsidP="00942FFB">
                      <w:pPr>
                        <w:rPr>
                          <w:color w:val="0D0D0D"/>
                        </w:rPr>
                      </w:pPr>
                    </w:p>
                  </w:txbxContent>
                </v:textbox>
              </v:shape>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-342900</wp:posOffset>
                </wp:positionH>
                <wp:positionV relativeFrom="paragraph">
                  <wp:posOffset>164465</wp:posOffset>
                </wp:positionV>
                <wp:extent cx="1390650" cy="1377315"/>
                <wp:effectExtent l="0" t="0" r="0" b="0"/>
                <wp:wrapNone/>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90650" cy="1377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211832" w:rsidRPr="00287CDF" w:rsidRDefault="00211832" w:rsidP="00942FFB">
                            <w:pPr>
                              <w:spacing w:line="276" w:lineRule="auto"/>
                              <w:jc w:val="right"/>
                              <w:rPr>
                                <w:rFonts w:ascii="Calibri" w:hAnsi="Calibri" w:cs="Calibri"/>
                                <w:color w:val="FFFFFF" w:themeColor="background1"/>
                                <w:sz w:val="22"/>
                                <w:szCs w:val="22"/>
                                <w:lang w:val="pt-BR"/>
                              </w:rPr>
                            </w:pPr>
                            <w:r w:rsidRPr="00287CDF">
                              <w:rPr>
                                <w:rFonts w:ascii="Calibri" w:hAnsi="Calibri" w:cs="Calibri"/>
                                <w:color w:val="FFFFFF" w:themeColor="background1"/>
                                <w:sz w:val="22"/>
                                <w:szCs w:val="22"/>
                                <w:lang w:val="pt-BR"/>
                              </w:rPr>
                              <w:t>OEA/Ser.L/V/II.</w:t>
                            </w:r>
                          </w:p>
                          <w:p w:rsidR="00211832" w:rsidRPr="00287CDF" w:rsidRDefault="00211832" w:rsidP="00942FFB">
                            <w:pPr>
                              <w:spacing w:line="276" w:lineRule="auto"/>
                              <w:jc w:val="right"/>
                              <w:rPr>
                                <w:rFonts w:ascii="Calibri" w:hAnsi="Calibri" w:cs="Calibri"/>
                                <w:color w:val="FFFFFF" w:themeColor="background1"/>
                                <w:sz w:val="22"/>
                                <w:szCs w:val="22"/>
                                <w:lang w:val="pt-BR"/>
                              </w:rPr>
                            </w:pPr>
                            <w:r w:rsidRPr="00287CDF">
                              <w:rPr>
                                <w:rFonts w:ascii="Calibri" w:hAnsi="Calibri" w:cs="Calibri"/>
                                <w:color w:val="FFFFFF" w:themeColor="background1"/>
                                <w:sz w:val="22"/>
                                <w:szCs w:val="22"/>
                                <w:lang w:val="pt-BR"/>
                              </w:rPr>
                              <w:t xml:space="preserve">Doc. </w:t>
                            </w:r>
                            <w:r w:rsidR="00287CDF" w:rsidRPr="00287CDF">
                              <w:rPr>
                                <w:rFonts w:ascii="Calibri" w:hAnsi="Calibri" w:cs="Calibri"/>
                                <w:color w:val="FFFFFF" w:themeColor="background1"/>
                                <w:sz w:val="22"/>
                                <w:szCs w:val="22"/>
                                <w:lang w:val="pt-BR"/>
                              </w:rPr>
                              <w:t>127</w:t>
                            </w:r>
                          </w:p>
                          <w:p w:rsidR="00211832" w:rsidRPr="00287CDF" w:rsidRDefault="00287CDF" w:rsidP="00942FFB">
                            <w:pPr>
                              <w:spacing w:line="276" w:lineRule="auto"/>
                              <w:jc w:val="right"/>
                              <w:rPr>
                                <w:rFonts w:ascii="Calibri" w:hAnsi="Calibri" w:cs="Calibri"/>
                                <w:color w:val="FFFFFF" w:themeColor="background1"/>
                                <w:sz w:val="22"/>
                                <w:szCs w:val="22"/>
                              </w:rPr>
                            </w:pPr>
                            <w:r>
                              <w:rPr>
                                <w:rFonts w:ascii="Calibri" w:hAnsi="Calibri" w:cs="Calibri"/>
                                <w:color w:val="FFFFFF" w:themeColor="background1"/>
                                <w:sz w:val="22"/>
                                <w:szCs w:val="22"/>
                              </w:rPr>
                              <w:t>25 April</w:t>
                            </w:r>
                            <w:r w:rsidR="00211832" w:rsidRPr="00287CDF">
                              <w:rPr>
                                <w:rFonts w:ascii="Calibri" w:hAnsi="Calibri" w:cs="Calibri"/>
                                <w:color w:val="FFFFFF" w:themeColor="background1"/>
                                <w:sz w:val="22"/>
                                <w:szCs w:val="22"/>
                              </w:rPr>
                              <w:t xml:space="preserve"> 2020</w:t>
                            </w:r>
                          </w:p>
                          <w:p w:rsidR="00211832" w:rsidRPr="00287CDF" w:rsidRDefault="00211832" w:rsidP="00942FFB">
                            <w:pPr>
                              <w:spacing w:line="276" w:lineRule="auto"/>
                              <w:jc w:val="right"/>
                              <w:rPr>
                                <w:rFonts w:ascii="Calibri" w:hAnsi="Calibri" w:cs="Calibri"/>
                                <w:color w:val="FFFFFF" w:themeColor="background1"/>
                                <w:sz w:val="22"/>
                                <w:szCs w:val="22"/>
                              </w:rPr>
                            </w:pPr>
                            <w:r w:rsidRPr="00287CDF">
                              <w:rPr>
                                <w:rFonts w:ascii="Calibri" w:hAnsi="Calibri" w:cs="Calibri"/>
                                <w:color w:val="FFFFFF" w:themeColor="background1"/>
                                <w:sz w:val="22"/>
                                <w:szCs w:val="22"/>
                              </w:rPr>
                              <w:t>Original: Portuguese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id="Text Box 8" o:spid="_x0000_s1028" type="#_x0000_t202" style="position:absolute;left:0;text-align:left;margin-left:-27pt;margin-top:12.95pt;width:109.5pt;height:108.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" filled="f" stroked="f" strokeweight=".5pt">
                <v:path arrowok="t"/>
                <v:textbox>
                  <w:txbxContent>
                    <w:p w:rsidR="00211832" w:rsidRPr="00287CDF" w:rsidRDefault="00211832" w:rsidP="00942FFB">
                      <w:pPr>
                        <w:spacing w:line="276" w:lineRule="auto"/>
                        <w:jc w:val="right"/>
                        <w:rPr>
                          <w:rFonts w:ascii="Calibri" w:hAnsi="Calibri" w:cs="Calibri"/>
                          <w:color w:val="FFFFFF" w:themeColor="background1"/>
                          <w:sz w:val="22"/>
                          <w:szCs w:val="22"/>
                          <w:lang w:val="pt-BR"/>
                        </w:rPr>
                      </w:pPr>
                      <w:r w:rsidRPr="00287CDF">
                        <w:rPr>
                          <w:rFonts w:ascii="Calibri" w:hAnsi="Calibri" w:cs="Calibri"/>
                          <w:color w:val="FFFFFF" w:themeColor="background1"/>
                          <w:sz w:val="22"/>
                          <w:szCs w:val="22"/>
                          <w:lang w:val="pt-BR"/>
                        </w:rPr>
                        <w:t>OEA/Ser.L/V/II.</w:t>
                      </w:r>
                    </w:p>
                    <w:p w:rsidR="00211832" w:rsidRPr="00287CDF" w:rsidRDefault="00211832" w:rsidP="00942FFB">
                      <w:pPr>
                        <w:spacing w:line="276" w:lineRule="auto"/>
                        <w:jc w:val="right"/>
                        <w:rPr>
                          <w:rFonts w:ascii="Calibri" w:hAnsi="Calibri" w:cs="Calibri"/>
                          <w:color w:val="FFFFFF" w:themeColor="background1"/>
                          <w:sz w:val="22"/>
                          <w:szCs w:val="22"/>
                          <w:lang w:val="pt-BR"/>
                        </w:rPr>
                      </w:pPr>
                      <w:r w:rsidRPr="00287CDF">
                        <w:rPr>
                          <w:rFonts w:ascii="Calibri" w:hAnsi="Calibri" w:cs="Calibri"/>
                          <w:color w:val="FFFFFF" w:themeColor="background1"/>
                          <w:sz w:val="22"/>
                          <w:szCs w:val="22"/>
                          <w:lang w:val="pt-BR"/>
                        </w:rPr>
                        <w:t xml:space="preserve">Doc. </w:t>
                      </w:r>
                      <w:r w:rsidR="00287CDF" w:rsidRPr="00287CDF">
                        <w:rPr>
                          <w:rFonts w:ascii="Calibri" w:hAnsi="Calibri" w:cs="Calibri"/>
                          <w:color w:val="FFFFFF" w:themeColor="background1"/>
                          <w:sz w:val="22"/>
                          <w:szCs w:val="22"/>
                          <w:lang w:val="pt-BR"/>
                        </w:rPr>
                        <w:t>127</w:t>
                      </w:r>
                    </w:p>
                    <w:p w:rsidR="00211832" w:rsidRPr="00287CDF" w:rsidRDefault="00287CDF" w:rsidP="00942FFB">
                      <w:pPr>
                        <w:spacing w:line="276" w:lineRule="auto"/>
                        <w:jc w:val="right"/>
                        <w:rPr>
                          <w:rFonts w:ascii="Calibri" w:hAnsi="Calibri" w:cs="Calibri"/>
                          <w:color w:val="FFFFFF" w:themeColor="background1"/>
                          <w:sz w:val="22"/>
                          <w:szCs w:val="22"/>
                        </w:rPr>
                      </w:pPr>
                      <w:r>
                        <w:rPr>
                          <w:rFonts w:ascii="Calibri" w:hAnsi="Calibri" w:cs="Calibri"/>
                          <w:color w:val="FFFFFF" w:themeColor="background1"/>
                          <w:sz w:val="22"/>
                          <w:szCs w:val="22"/>
                        </w:rPr>
                        <w:t>25 April</w:t>
                      </w:r>
                      <w:r w:rsidR="00211832" w:rsidRPr="00287CDF">
                        <w:rPr>
                          <w:rFonts w:ascii="Calibri" w:hAnsi="Calibri" w:cs="Calibri"/>
                          <w:color w:val="FFFFFF" w:themeColor="background1"/>
                          <w:sz w:val="22"/>
                          <w:szCs w:val="22"/>
                        </w:rPr>
                        <w:t xml:space="preserve"> 2020</w:t>
                      </w:r>
                    </w:p>
                    <w:p w:rsidR="00211832" w:rsidRPr="00287CDF" w:rsidRDefault="00211832" w:rsidP="00942FFB">
                      <w:pPr>
                        <w:spacing w:line="276" w:lineRule="auto"/>
                        <w:jc w:val="right"/>
                        <w:rPr>
                          <w:rFonts w:ascii="Calibri" w:hAnsi="Calibri" w:cs="Calibri"/>
                          <w:color w:val="FFFFFF" w:themeColor="background1"/>
                          <w:sz w:val="22"/>
                          <w:szCs w:val="22"/>
                        </w:rPr>
                      </w:pPr>
                      <w:r w:rsidRPr="00287CDF">
                        <w:rPr>
                          <w:rFonts w:ascii="Calibri" w:hAnsi="Calibri" w:cs="Calibri"/>
                          <w:color w:val="FFFFFF" w:themeColor="background1"/>
                          <w:sz w:val="22"/>
                          <w:szCs w:val="22"/>
                        </w:rPr>
                        <w:t>Original: Portuguese</w:t>
                      </w:r>
                    </w:p>
                  </w:txbxContent>
                </v:textbox>
              </v:shape>
            </w:pict>
          </mc:Fallback>
        </mc:AlternateContent>
      </w:r>
    </w:p>
    <w:p w:rsidR="00211832" w:rsidRPr="0075249D" w:rsidRDefault="00211832" w:rsidP="00942FFB">
      <w:pPr>
        <w:tabs>
          <w:tab w:val="center" w:pos="5400"/>
        </w:tabs>
        <w:suppressAutoHyphens/>
        <w:jc w:val="center"/>
        <w:rPr>
          <w:rFonts w:ascii="Cambria" w:hAnsi="Cambria" w:cs="Cambria"/>
          <w:sz w:val="22"/>
          <w:szCs w:val="22"/>
        </w:rPr>
      </w:pPr>
    </w:p>
    <w:p w:rsidR="00211832" w:rsidRPr="0075249D" w:rsidRDefault="00211832" w:rsidP="00942FFB">
      <w:pPr>
        <w:tabs>
          <w:tab w:val="center" w:pos="5400"/>
        </w:tabs>
        <w:suppressAutoHyphens/>
        <w:jc w:val="center"/>
        <w:rPr>
          <w:rFonts w:ascii="Cambria" w:hAnsi="Cambria" w:cs="Cambria"/>
          <w:sz w:val="22"/>
          <w:szCs w:val="22"/>
        </w:rPr>
      </w:pPr>
    </w:p>
    <w:p w:rsidR="00211832" w:rsidRPr="0075249D" w:rsidRDefault="00211832" w:rsidP="00942FFB">
      <w:pPr>
        <w:tabs>
          <w:tab w:val="center" w:pos="5400"/>
        </w:tabs>
        <w:suppressAutoHyphens/>
        <w:jc w:val="center"/>
        <w:rPr>
          <w:rFonts w:ascii="Cambria" w:hAnsi="Cambria" w:cs="Cambria"/>
          <w:sz w:val="22"/>
          <w:szCs w:val="22"/>
        </w:rPr>
      </w:pPr>
    </w:p>
    <w:p w:rsidR="00211832" w:rsidRPr="0075249D" w:rsidRDefault="00211832" w:rsidP="00942FFB">
      <w:pPr>
        <w:tabs>
          <w:tab w:val="center" w:pos="5400"/>
        </w:tabs>
        <w:suppressAutoHyphens/>
        <w:jc w:val="center"/>
        <w:rPr>
          <w:rFonts w:ascii="Cambria" w:hAnsi="Cambria" w:cs="Cambria"/>
          <w:sz w:val="22"/>
          <w:szCs w:val="22"/>
        </w:rPr>
      </w:pPr>
    </w:p>
    <w:p w:rsidR="00211832" w:rsidRPr="0075249D" w:rsidRDefault="00211832" w:rsidP="00942FFB">
      <w:pPr>
        <w:tabs>
          <w:tab w:val="center" w:pos="5400"/>
        </w:tabs>
        <w:suppressAutoHyphens/>
        <w:jc w:val="center"/>
        <w:rPr>
          <w:rFonts w:ascii="Cambria" w:hAnsi="Cambria" w:cs="Cambria"/>
          <w:sz w:val="22"/>
          <w:szCs w:val="22"/>
        </w:rPr>
      </w:pPr>
    </w:p>
    <w:p w:rsidR="00211832" w:rsidRPr="0075249D" w:rsidRDefault="00211832" w:rsidP="00942FFB">
      <w:pPr>
        <w:tabs>
          <w:tab w:val="center" w:pos="5400"/>
        </w:tabs>
        <w:suppressAutoHyphens/>
        <w:jc w:val="center"/>
        <w:rPr>
          <w:rFonts w:ascii="Cambria" w:hAnsi="Cambria" w:cs="Cambria"/>
          <w:sz w:val="22"/>
          <w:szCs w:val="22"/>
        </w:rPr>
      </w:pPr>
    </w:p>
    <w:p w:rsidR="00211832" w:rsidRPr="0075249D" w:rsidRDefault="00211832" w:rsidP="00942FFB">
      <w:pPr>
        <w:tabs>
          <w:tab w:val="center" w:pos="5400"/>
        </w:tabs>
        <w:suppressAutoHyphens/>
        <w:jc w:val="center"/>
        <w:rPr>
          <w:rFonts w:ascii="Cambria" w:hAnsi="Cambria" w:cs="Cambria"/>
          <w:sz w:val="22"/>
          <w:szCs w:val="22"/>
        </w:rPr>
      </w:pPr>
    </w:p>
    <w:p w:rsidR="00211832" w:rsidRPr="0075249D" w:rsidRDefault="00211832" w:rsidP="00942FFB">
      <w:pPr>
        <w:tabs>
          <w:tab w:val="center" w:pos="5400"/>
        </w:tabs>
        <w:suppressAutoHyphens/>
        <w:jc w:val="center"/>
        <w:rPr>
          <w:rFonts w:ascii="Cambria" w:hAnsi="Cambria" w:cs="Cambria"/>
          <w:sz w:val="22"/>
          <w:szCs w:val="22"/>
        </w:rPr>
      </w:pPr>
    </w:p>
    <w:p w:rsidR="00211832" w:rsidRPr="0075249D" w:rsidRDefault="00211832" w:rsidP="00942FFB">
      <w:pPr>
        <w:tabs>
          <w:tab w:val="center" w:pos="5400"/>
        </w:tabs>
        <w:suppressAutoHyphens/>
        <w:jc w:val="center"/>
        <w:rPr>
          <w:rFonts w:ascii="Cambria" w:hAnsi="Cambria" w:cs="Cambria"/>
          <w:sz w:val="22"/>
          <w:szCs w:val="22"/>
        </w:rPr>
      </w:pPr>
    </w:p>
    <w:p w:rsidR="00211832" w:rsidRPr="0075249D" w:rsidRDefault="00211832" w:rsidP="00942FFB">
      <w:pPr>
        <w:tabs>
          <w:tab w:val="center" w:pos="5400"/>
        </w:tabs>
        <w:suppressAutoHyphens/>
        <w:jc w:val="center"/>
        <w:rPr>
          <w:rFonts w:ascii="Cambria" w:hAnsi="Cambria" w:cs="Cambria"/>
          <w:sz w:val="22"/>
          <w:szCs w:val="22"/>
        </w:rPr>
      </w:pPr>
    </w:p>
    <w:p w:rsidR="00211832" w:rsidRPr="0075249D" w:rsidRDefault="00211832" w:rsidP="00942FFB">
      <w:pPr>
        <w:tabs>
          <w:tab w:val="center" w:pos="5400"/>
        </w:tabs>
        <w:suppressAutoHyphens/>
        <w:jc w:val="center"/>
        <w:rPr>
          <w:rFonts w:ascii="Cambria" w:hAnsi="Cambria" w:cs="Cambria"/>
          <w:sz w:val="22"/>
          <w:szCs w:val="22"/>
        </w:rPr>
      </w:pPr>
    </w:p>
    <w:p w:rsidR="00211832" w:rsidRPr="0075249D" w:rsidRDefault="00211832" w:rsidP="00942FFB">
      <w:pPr>
        <w:tabs>
          <w:tab w:val="center" w:pos="5400"/>
        </w:tabs>
        <w:suppressAutoHyphens/>
        <w:jc w:val="center"/>
        <w:rPr>
          <w:rFonts w:ascii="Cambria" w:hAnsi="Cambria" w:cs="Cambria"/>
          <w:sz w:val="22"/>
          <w:szCs w:val="22"/>
        </w:rPr>
      </w:pPr>
    </w:p>
    <w:p w:rsidR="00211832" w:rsidRPr="0075249D" w:rsidRDefault="00211832" w:rsidP="00942FFB">
      <w:pPr>
        <w:tabs>
          <w:tab w:val="center" w:pos="5400"/>
        </w:tabs>
        <w:suppressAutoHyphens/>
        <w:jc w:val="center"/>
        <w:rPr>
          <w:rFonts w:ascii="Cambria" w:hAnsi="Cambria" w:cs="Cambria"/>
          <w:sz w:val="22"/>
          <w:szCs w:val="22"/>
        </w:rPr>
      </w:pPr>
    </w:p>
    <w:p w:rsidR="00211832" w:rsidRPr="0075249D" w:rsidRDefault="00211832" w:rsidP="00942FFB">
      <w:pPr>
        <w:tabs>
          <w:tab w:val="center" w:pos="5400"/>
        </w:tabs>
        <w:suppressAutoHyphens/>
        <w:jc w:val="center"/>
        <w:rPr>
          <w:rFonts w:ascii="Cambria" w:hAnsi="Cambria" w:cs="Cambria"/>
          <w:sz w:val="22"/>
          <w:szCs w:val="22"/>
        </w:rPr>
      </w:pPr>
    </w:p>
    <w:p w:rsidR="00211832" w:rsidRPr="0075249D" w:rsidRDefault="00211832" w:rsidP="00942FFB">
      <w:pPr>
        <w:tabs>
          <w:tab w:val="center" w:pos="5400"/>
        </w:tabs>
        <w:suppressAutoHyphens/>
        <w:jc w:val="center"/>
        <w:rPr>
          <w:rFonts w:ascii="Cambria" w:hAnsi="Cambria" w:cs="Cambria"/>
          <w:sz w:val="18"/>
          <w:szCs w:val="18"/>
        </w:rPr>
      </w:pPr>
    </w:p>
    <w:p w:rsidR="00211832" w:rsidRPr="0075249D" w:rsidRDefault="00211832" w:rsidP="00942FFB">
      <w:pPr>
        <w:tabs>
          <w:tab w:val="center" w:pos="5400"/>
        </w:tabs>
        <w:suppressAutoHyphens/>
        <w:jc w:val="center"/>
        <w:rPr>
          <w:rFonts w:ascii="Cambria" w:hAnsi="Cambria" w:cs="Cambria"/>
          <w:sz w:val="18"/>
          <w:szCs w:val="18"/>
        </w:rPr>
      </w:pPr>
    </w:p>
    <w:p w:rsidR="00211832" w:rsidRPr="0075249D" w:rsidRDefault="00211832" w:rsidP="00942FFB">
      <w:pPr>
        <w:tabs>
          <w:tab w:val="center" w:pos="5400"/>
        </w:tabs>
        <w:suppressAutoHyphens/>
        <w:jc w:val="center"/>
        <w:rPr>
          <w:rFonts w:ascii="Cambria" w:hAnsi="Cambria" w:cs="Cambria"/>
          <w:sz w:val="18"/>
          <w:szCs w:val="18"/>
        </w:rPr>
      </w:pPr>
    </w:p>
    <w:p w:rsidR="00211832" w:rsidRPr="0075249D" w:rsidRDefault="00211832" w:rsidP="00942FFB">
      <w:pPr>
        <w:tabs>
          <w:tab w:val="center" w:pos="5400"/>
        </w:tabs>
        <w:suppressAutoHyphens/>
        <w:jc w:val="center"/>
        <w:rPr>
          <w:rFonts w:ascii="Cambria" w:hAnsi="Cambria" w:cs="Cambria"/>
          <w:sz w:val="18"/>
          <w:szCs w:val="18"/>
        </w:rPr>
      </w:pPr>
    </w:p>
    <w:p w:rsidR="00211832" w:rsidRPr="0075249D" w:rsidRDefault="00211832" w:rsidP="00942FFB">
      <w:pPr>
        <w:tabs>
          <w:tab w:val="center" w:pos="5400"/>
        </w:tabs>
        <w:suppressAutoHyphens/>
        <w:jc w:val="center"/>
        <w:rPr>
          <w:rFonts w:ascii="Cambria" w:hAnsi="Cambria" w:cs="Cambria"/>
          <w:sz w:val="18"/>
          <w:szCs w:val="18"/>
        </w:rPr>
      </w:pPr>
    </w:p>
    <w:p w:rsidR="00211832" w:rsidRPr="0075249D" w:rsidRDefault="00211832" w:rsidP="00942FFB">
      <w:pPr>
        <w:tabs>
          <w:tab w:val="center" w:pos="5400"/>
        </w:tabs>
        <w:suppressAutoHyphens/>
        <w:jc w:val="center"/>
        <w:rPr>
          <w:rFonts w:ascii="Cambria" w:hAnsi="Cambria" w:cs="Cambria"/>
          <w:sz w:val="18"/>
          <w:szCs w:val="18"/>
        </w:rPr>
      </w:pPr>
    </w:p>
    <w:p w:rsidR="00211832" w:rsidRPr="0075249D" w:rsidRDefault="00211832" w:rsidP="00942FFB">
      <w:pPr>
        <w:tabs>
          <w:tab w:val="center" w:pos="5400"/>
        </w:tabs>
        <w:suppressAutoHyphens/>
        <w:jc w:val="center"/>
        <w:rPr>
          <w:rFonts w:ascii="Cambria" w:hAnsi="Cambria" w:cs="Cambria"/>
          <w:sz w:val="18"/>
          <w:szCs w:val="18"/>
        </w:rPr>
      </w:pPr>
    </w:p>
    <w:p w:rsidR="00211832" w:rsidRPr="0075249D" w:rsidRDefault="00211832" w:rsidP="00942FFB">
      <w:pPr>
        <w:tabs>
          <w:tab w:val="center" w:pos="5400"/>
        </w:tabs>
        <w:suppressAutoHyphens/>
        <w:jc w:val="center"/>
        <w:rPr>
          <w:rFonts w:ascii="Cambria" w:hAnsi="Cambria" w:cs="Cambria"/>
          <w:sz w:val="18"/>
          <w:szCs w:val="18"/>
        </w:rPr>
      </w:pPr>
    </w:p>
    <w:p w:rsidR="00211832" w:rsidRPr="0075249D" w:rsidRDefault="00211832" w:rsidP="00942FFB">
      <w:pPr>
        <w:tabs>
          <w:tab w:val="center" w:pos="5400"/>
        </w:tabs>
        <w:suppressAutoHyphens/>
        <w:jc w:val="center"/>
        <w:rPr>
          <w:rFonts w:ascii="Cambria" w:hAnsi="Cambria" w:cs="Cambria"/>
          <w:sz w:val="18"/>
          <w:szCs w:val="18"/>
        </w:rPr>
      </w:pPr>
    </w:p>
    <w:p w:rsidR="00211832" w:rsidRPr="0075249D" w:rsidRDefault="00211832" w:rsidP="00942FFB">
      <w:pPr>
        <w:tabs>
          <w:tab w:val="center" w:pos="5400"/>
        </w:tabs>
        <w:suppressAutoHyphens/>
        <w:jc w:val="center"/>
        <w:rPr>
          <w:rFonts w:ascii="Cambria" w:hAnsi="Cambria" w:cs="Cambria"/>
          <w:sz w:val="18"/>
          <w:szCs w:val="18"/>
        </w:rPr>
      </w:pPr>
    </w:p>
    <w:p w:rsidR="00211832" w:rsidRPr="0075249D" w:rsidRDefault="00211832" w:rsidP="00942FFB">
      <w:pPr>
        <w:tabs>
          <w:tab w:val="center" w:pos="5400"/>
        </w:tabs>
        <w:suppressAutoHyphens/>
        <w:jc w:val="center"/>
        <w:rPr>
          <w:rFonts w:ascii="Cambria" w:hAnsi="Cambria" w:cs="Cambria"/>
          <w:sz w:val="18"/>
          <w:szCs w:val="18"/>
        </w:rPr>
      </w:pPr>
    </w:p>
    <w:p w:rsidR="00211832" w:rsidRPr="0075249D" w:rsidRDefault="00211832" w:rsidP="00942FFB">
      <w:pPr>
        <w:tabs>
          <w:tab w:val="center" w:pos="5400"/>
        </w:tabs>
        <w:suppressAutoHyphens/>
        <w:jc w:val="center"/>
        <w:rPr>
          <w:rFonts w:ascii="Cambria" w:hAnsi="Cambria" w:cs="Cambria"/>
          <w:sz w:val="18"/>
          <w:szCs w:val="18"/>
        </w:rPr>
      </w:pPr>
    </w:p>
    <w:p w:rsidR="00211832" w:rsidRPr="0075249D" w:rsidRDefault="00211832" w:rsidP="00942FFB">
      <w:pPr>
        <w:tabs>
          <w:tab w:val="center" w:pos="5400"/>
        </w:tabs>
        <w:suppressAutoHyphens/>
        <w:jc w:val="center"/>
        <w:rPr>
          <w:rFonts w:ascii="Cambria" w:hAnsi="Cambria" w:cs="Cambria"/>
          <w:sz w:val="18"/>
          <w:szCs w:val="18"/>
        </w:rPr>
      </w:pPr>
    </w:p>
    <w:p w:rsidR="00211832" w:rsidRPr="0075249D" w:rsidRDefault="00211832" w:rsidP="00942FFB">
      <w:pPr>
        <w:tabs>
          <w:tab w:val="center" w:pos="5400"/>
        </w:tabs>
        <w:suppressAutoHyphens/>
        <w:jc w:val="center"/>
        <w:rPr>
          <w:rFonts w:ascii="Cambria" w:hAnsi="Cambria" w:cs="Cambria"/>
          <w:sz w:val="18"/>
          <w:szCs w:val="18"/>
        </w:rPr>
      </w:pPr>
    </w:p>
    <w:p w:rsidR="00211832" w:rsidRPr="0075249D" w:rsidRDefault="00DF654E" w:rsidP="00942FFB">
      <w:pPr>
        <w:tabs>
          <w:tab w:val="center" w:pos="5400"/>
        </w:tabs>
        <w:suppressAutoHyphens/>
        <w:jc w:val="center"/>
        <w:rPr>
          <w:rFonts w:ascii="Cambria" w:hAnsi="Cambria" w:cs="Cambria"/>
          <w:sz w:val="18"/>
          <w:szCs w:val="18"/>
        </w:rPr>
      </w:pPr>
      <w:r>
        <w:rPr>
          <w:noProof/>
        </w:rPr>
        <mc:AlternateContent>
          <mc:Choice Requires="wps">
            <w:drawing>
              <wp:anchor distT="0" distB="0" distL="114300" distR="114300" simplePos="0" relativeHeight="251656704" behindDoc="0" locked="0" layoutInCell="1" allowOverlap="1">
                <wp:simplePos x="0" y="0"/>
                <wp:positionH relativeFrom="column">
                  <wp:posOffset>1341755</wp:posOffset>
                </wp:positionH>
                <wp:positionV relativeFrom="paragraph">
                  <wp:posOffset>22860</wp:posOffset>
                </wp:positionV>
                <wp:extent cx="4933950" cy="664845"/>
                <wp:effectExtent l="0" t="0" r="0" b="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933950" cy="664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211832" w:rsidRPr="00942FFB" w:rsidRDefault="00211832" w:rsidP="00942FFB">
                            <w:pPr>
                              <w:tabs>
                                <w:tab w:val="center" w:pos="5400"/>
                              </w:tabs>
                              <w:suppressAutoHyphens/>
                              <w:spacing w:before="60"/>
                              <w:rPr>
                                <w:rFonts w:ascii="Cambria" w:hAnsi="Cambria" w:cs="Cambria"/>
                                <w:noProof/>
                                <w:color w:val="0D0D0D"/>
                                <w:sz w:val="18"/>
                                <w:szCs w:val="18"/>
                              </w:rPr>
                            </w:pPr>
                            <w:r w:rsidRPr="00942FFB">
                              <w:rPr>
                                <w:rFonts w:ascii="Cambria" w:hAnsi="Cambria" w:cs="Cambria"/>
                                <w:noProof/>
                                <w:color w:val="0D0D0D"/>
                                <w:sz w:val="18"/>
                                <w:szCs w:val="18"/>
                              </w:rPr>
                              <w:t xml:space="preserve">Approved electronically by the Commission on </w:t>
                            </w:r>
                            <w:r w:rsidR="00287CDF">
                              <w:rPr>
                                <w:rFonts w:ascii="Cambria" w:hAnsi="Cambria" w:cs="Cambria"/>
                                <w:noProof/>
                                <w:color w:val="0D0D0D"/>
                                <w:sz w:val="18"/>
                                <w:szCs w:val="18"/>
                              </w:rPr>
                              <w:t>April 25</w:t>
                            </w:r>
                            <w:r w:rsidRPr="00942FFB">
                              <w:rPr>
                                <w:rFonts w:ascii="Cambria" w:hAnsi="Cambria" w:cs="Cambria"/>
                                <w:noProof/>
                                <w:color w:val="0D0D0D"/>
                                <w:sz w:val="18"/>
                                <w:szCs w:val="18"/>
                              </w:rPr>
                              <w:t>, 2020</w:t>
                            </w:r>
                            <w:r w:rsidR="00AF5496">
                              <w:rPr>
                                <w:rFonts w:ascii="Cambria" w:hAnsi="Cambria" w:cs="Cambria"/>
                                <w:noProof/>
                                <w:color w:val="0D0D0D"/>
                                <w:sz w:val="18"/>
                                <w:szCs w:val="18"/>
                              </w:rPr>
                              <w:t>.</w:t>
                            </w:r>
                          </w:p>
                          <w:p w:rsidR="00211832" w:rsidRPr="00942FFB" w:rsidRDefault="00211832" w:rsidP="00942FFB">
                            <w:pPr>
                              <w:tabs>
                                <w:tab w:val="center" w:pos="5400"/>
                              </w:tabs>
                              <w:suppressAutoHyphens/>
                              <w:spacing w:before="60"/>
                              <w:rPr>
                                <w:rFonts w:ascii="Calibri" w:hAnsi="Calibri" w:cs="Calibri"/>
                                <w:noProof/>
                                <w:color w:val="0D0D0D"/>
                                <w:sz w:val="20"/>
                                <w:szCs w:val="20"/>
                              </w:rPr>
                            </w:pPr>
                          </w:p>
                          <w:p w:rsidR="00211832" w:rsidRPr="00942FFB" w:rsidRDefault="00211832" w:rsidP="00942FFB">
                            <w:pPr>
                              <w:tabs>
                                <w:tab w:val="center" w:pos="5400"/>
                              </w:tabs>
                              <w:suppressAutoHyphens/>
                              <w:spacing w:before="60"/>
                              <w:rPr>
                                <w:rFonts w:ascii="Calibri" w:hAnsi="Calibri" w:cs="Calibri"/>
                                <w:noProof/>
                                <w:color w:val="FFFFFF"/>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" filled="f" stroked="f" strokeweight=".5pt">
                <v:path arrowok="t"/>
                <v:textbox>
                  <w:txbxContent>
                    <w:p w:rsidR="00211832" w:rsidRPr="00942FFB" w:rsidRDefault="00211832" w:rsidP="00942FFB">
                      <w:pPr>
                        <w:tabs>
                          <w:tab w:val="center" w:pos="5400"/>
                        </w:tabs>
                        <w:suppressAutoHyphens/>
                        <w:spacing w:before="60"/>
                        <w:rPr>
                          <w:rFonts w:ascii="Cambria" w:hAnsi="Cambria" w:cs="Cambria"/>
                          <w:noProof/>
                          <w:color w:val="0D0D0D"/>
                          <w:sz w:val="18"/>
                          <w:szCs w:val="18"/>
                        </w:rPr>
                      </w:pPr>
                      <w:r w:rsidRPr="00942FFB">
                        <w:rPr>
                          <w:rFonts w:ascii="Cambria" w:hAnsi="Cambria" w:cs="Cambria"/>
                          <w:noProof/>
                          <w:color w:val="0D0D0D"/>
                          <w:sz w:val="18"/>
                          <w:szCs w:val="18"/>
                        </w:rPr>
                        <w:t xml:space="preserve">Approved electronically by the Commission on </w:t>
                      </w:r>
                      <w:r w:rsidR="00287CDF">
                        <w:rPr>
                          <w:rFonts w:ascii="Cambria" w:hAnsi="Cambria" w:cs="Cambria"/>
                          <w:noProof/>
                          <w:color w:val="0D0D0D"/>
                          <w:sz w:val="18"/>
                          <w:szCs w:val="18"/>
                        </w:rPr>
                        <w:t>April 25</w:t>
                      </w:r>
                      <w:r w:rsidRPr="00942FFB">
                        <w:rPr>
                          <w:rFonts w:ascii="Cambria" w:hAnsi="Cambria" w:cs="Cambria"/>
                          <w:noProof/>
                          <w:color w:val="0D0D0D"/>
                          <w:sz w:val="18"/>
                          <w:szCs w:val="18"/>
                        </w:rPr>
                        <w:t>, 2020</w:t>
                      </w:r>
                      <w:r w:rsidR="00AF5496">
                        <w:rPr>
                          <w:rFonts w:ascii="Cambria" w:hAnsi="Cambria" w:cs="Cambria"/>
                          <w:noProof/>
                          <w:color w:val="0D0D0D"/>
                          <w:sz w:val="18"/>
                          <w:szCs w:val="18"/>
                        </w:rPr>
                        <w:t>.</w:t>
                      </w:r>
                    </w:p>
                    <w:p w:rsidR="00211832" w:rsidRPr="00942FFB" w:rsidRDefault="00211832" w:rsidP="00942FFB">
                      <w:pPr>
                        <w:tabs>
                          <w:tab w:val="center" w:pos="5400"/>
                        </w:tabs>
                        <w:suppressAutoHyphens/>
                        <w:spacing w:before="60"/>
                        <w:rPr>
                          <w:rFonts w:ascii="Calibri" w:hAnsi="Calibri" w:cs="Calibri"/>
                          <w:noProof/>
                          <w:color w:val="0D0D0D"/>
                          <w:sz w:val="20"/>
                          <w:szCs w:val="20"/>
                        </w:rPr>
                      </w:pPr>
                    </w:p>
                    <w:p w:rsidR="00211832" w:rsidRPr="00942FFB" w:rsidRDefault="00211832" w:rsidP="00942FFB">
                      <w:pPr>
                        <w:tabs>
                          <w:tab w:val="center" w:pos="5400"/>
                        </w:tabs>
                        <w:suppressAutoHyphens/>
                        <w:spacing w:before="60"/>
                        <w:rPr>
                          <w:rFonts w:ascii="Calibri" w:hAnsi="Calibri" w:cs="Calibri"/>
                          <w:noProof/>
                          <w:color w:val="FFFFFF"/>
                          <w:sz w:val="16"/>
                          <w:szCs w:val="16"/>
                        </w:rPr>
                      </w:pPr>
                    </w:p>
                  </w:txbxContent>
                </v:textbox>
              </v:shape>
            </w:pict>
          </mc:Fallback>
        </mc:AlternateContent>
      </w:r>
    </w:p>
    <w:p w:rsidR="00211832" w:rsidRPr="0075249D" w:rsidRDefault="00211832" w:rsidP="00942FFB">
      <w:pPr>
        <w:tabs>
          <w:tab w:val="center" w:pos="5400"/>
        </w:tabs>
        <w:suppressAutoHyphens/>
        <w:jc w:val="center"/>
        <w:rPr>
          <w:rFonts w:ascii="Cambria" w:hAnsi="Cambria" w:cs="Cambria"/>
          <w:sz w:val="18"/>
          <w:szCs w:val="18"/>
        </w:rPr>
      </w:pPr>
    </w:p>
    <w:p w:rsidR="00211832" w:rsidRPr="0075249D" w:rsidRDefault="00211832" w:rsidP="00942FFB">
      <w:pPr>
        <w:tabs>
          <w:tab w:val="center" w:pos="5400"/>
        </w:tabs>
        <w:suppressAutoHyphens/>
        <w:jc w:val="center"/>
        <w:rPr>
          <w:rFonts w:ascii="Cambria" w:hAnsi="Cambria" w:cs="Cambria"/>
          <w:sz w:val="18"/>
          <w:szCs w:val="18"/>
        </w:rPr>
      </w:pPr>
    </w:p>
    <w:p w:rsidR="00211832" w:rsidRPr="0075249D" w:rsidRDefault="00211832" w:rsidP="00942FFB">
      <w:pPr>
        <w:tabs>
          <w:tab w:val="center" w:pos="5400"/>
        </w:tabs>
        <w:suppressAutoHyphens/>
        <w:jc w:val="center"/>
        <w:rPr>
          <w:rFonts w:ascii="Cambria" w:hAnsi="Cambria" w:cs="Cambria"/>
          <w:sz w:val="18"/>
          <w:szCs w:val="18"/>
        </w:rPr>
      </w:pPr>
    </w:p>
    <w:p w:rsidR="00211832" w:rsidRPr="0075249D" w:rsidRDefault="00211832" w:rsidP="00942FFB">
      <w:pPr>
        <w:tabs>
          <w:tab w:val="center" w:pos="5400"/>
        </w:tabs>
        <w:suppressAutoHyphens/>
        <w:jc w:val="center"/>
        <w:rPr>
          <w:rFonts w:ascii="Cambria" w:hAnsi="Cambria" w:cs="Cambria"/>
          <w:sz w:val="18"/>
          <w:szCs w:val="18"/>
        </w:rPr>
      </w:pPr>
    </w:p>
    <w:p w:rsidR="00211832" w:rsidRPr="0075249D" w:rsidRDefault="00DF654E" w:rsidP="00942FFB">
      <w:pPr>
        <w:tabs>
          <w:tab w:val="center" w:pos="5400"/>
        </w:tabs>
        <w:suppressAutoHyphens/>
        <w:jc w:val="center"/>
        <w:rPr>
          <w:rFonts w:ascii="Cambria" w:hAnsi="Cambria" w:cs="Cambria"/>
          <w:sz w:val="18"/>
          <w:szCs w:val="18"/>
        </w:rPr>
      </w:pPr>
      <w:r>
        <w:rPr>
          <w:noProof/>
        </w:rPr>
        <mc:AlternateContent>
          <mc:Choice Requires="wps">
            <w:drawing>
              <wp:anchor distT="0" distB="0" distL="114300" distR="114300" simplePos="0" relativeHeight="251659776" behindDoc="0" locked="0" layoutInCell="1" allowOverlap="1">
                <wp:simplePos x="0" y="0"/>
                <wp:positionH relativeFrom="column">
                  <wp:posOffset>1333500</wp:posOffset>
                </wp:positionH>
                <wp:positionV relativeFrom="paragraph">
                  <wp:posOffset>5715</wp:posOffset>
                </wp:positionV>
                <wp:extent cx="4943475" cy="657225"/>
                <wp:effectExtent l="0" t="0" r="0" b="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943475" cy="657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211832" w:rsidRPr="00942FFB" w:rsidRDefault="00211832" w:rsidP="00942FFB">
                            <w:pPr>
                              <w:spacing w:line="276" w:lineRule="auto"/>
                              <w:rPr>
                                <w:rFonts w:ascii="Cambria" w:hAnsi="Cambria" w:cs="Cambria"/>
                                <w:noProof/>
                                <w:color w:val="595959"/>
                                <w:sz w:val="18"/>
                                <w:szCs w:val="18"/>
                              </w:rPr>
                            </w:pPr>
                            <w:r w:rsidRPr="00942FFB">
                              <w:rPr>
                                <w:rFonts w:ascii="Cambria" w:hAnsi="Cambria" w:cs="Cambria"/>
                                <w:b/>
                                <w:bCs/>
                                <w:noProof/>
                                <w:color w:val="595959"/>
                                <w:sz w:val="18"/>
                                <w:szCs w:val="18"/>
                              </w:rPr>
                              <w:t xml:space="preserve">Cite as: </w:t>
                            </w:r>
                            <w:r w:rsidRPr="00942FFB">
                              <w:rPr>
                                <w:rFonts w:ascii="Cambria" w:hAnsi="Cambria" w:cs="Cambria"/>
                                <w:noProof/>
                                <w:color w:val="595959"/>
                                <w:sz w:val="18"/>
                                <w:szCs w:val="18"/>
                              </w:rPr>
                              <w:t xml:space="preserve">IACHR, Report No. </w:t>
                            </w:r>
                            <w:r w:rsidR="00287CDF">
                              <w:rPr>
                                <w:rFonts w:ascii="Cambria" w:hAnsi="Cambria" w:cs="Cambria"/>
                                <w:noProof/>
                                <w:color w:val="595959"/>
                                <w:sz w:val="18"/>
                                <w:szCs w:val="18"/>
                              </w:rPr>
                              <w:t>117</w:t>
                            </w:r>
                            <w:r w:rsidRPr="00942FFB">
                              <w:rPr>
                                <w:rFonts w:ascii="Cambria" w:hAnsi="Cambria" w:cs="Cambria"/>
                                <w:noProof/>
                                <w:color w:val="595959"/>
                                <w:sz w:val="18"/>
                                <w:szCs w:val="18"/>
                              </w:rPr>
                              <w:t>/</w:t>
                            </w:r>
                            <w:r w:rsidR="00287CDF">
                              <w:rPr>
                                <w:rFonts w:ascii="Cambria" w:hAnsi="Cambria" w:cs="Cambria"/>
                                <w:noProof/>
                                <w:color w:val="595959"/>
                                <w:sz w:val="18"/>
                                <w:szCs w:val="18"/>
                              </w:rPr>
                              <w:t>20</w:t>
                            </w:r>
                            <w:r w:rsidRPr="00942FFB">
                              <w:rPr>
                                <w:rFonts w:ascii="Cambria" w:hAnsi="Cambria" w:cs="Cambria"/>
                                <w:noProof/>
                                <w:color w:val="595959"/>
                                <w:sz w:val="18"/>
                                <w:szCs w:val="18"/>
                              </w:rPr>
                              <w:t xml:space="preserve">, Petition 457-09. Admissibility. Margareth Figueiredo Alves. Brazil. </w:t>
                            </w:r>
                            <w:r w:rsidR="00287CDF">
                              <w:rPr>
                                <w:rFonts w:ascii="Cambria" w:hAnsi="Cambria" w:cs="Cambria"/>
                                <w:noProof/>
                                <w:color w:val="595959"/>
                                <w:sz w:val="18"/>
                                <w:szCs w:val="18"/>
                              </w:rPr>
                              <w:t>April 25, 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id="Text Box 10" o:spid="_x0000_s1030" type="#_x0000_t202" style="position:absolute;left:0;text-align:left;margin-left:105pt;margin-top:.45pt;width:389.25pt;height:51.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" filled="f" stroked="f" strokeweight=".5pt">
                <v:path arrowok="t"/>
                <v:textbox>
                  <w:txbxContent>
                    <w:p w:rsidR="00211832" w:rsidRPr="00942FFB" w:rsidRDefault="00211832" w:rsidP="00942FFB">
                      <w:pPr>
                        <w:spacing w:line="276" w:lineRule="auto"/>
                        <w:rPr>
                          <w:rFonts w:ascii="Cambria" w:hAnsi="Cambria" w:cs="Cambria"/>
                          <w:noProof/>
                          <w:color w:val="595959"/>
                          <w:sz w:val="18"/>
                          <w:szCs w:val="18"/>
                        </w:rPr>
                      </w:pPr>
                      <w:r w:rsidRPr="00942FFB">
                        <w:rPr>
                          <w:rFonts w:ascii="Cambria" w:hAnsi="Cambria" w:cs="Cambria"/>
                          <w:b/>
                          <w:bCs/>
                          <w:noProof/>
                          <w:color w:val="595959"/>
                          <w:sz w:val="18"/>
                          <w:szCs w:val="18"/>
                        </w:rPr>
                        <w:t xml:space="preserve">Cite as: </w:t>
                      </w:r>
                      <w:r w:rsidRPr="00942FFB">
                        <w:rPr>
                          <w:rFonts w:ascii="Cambria" w:hAnsi="Cambria" w:cs="Cambria"/>
                          <w:noProof/>
                          <w:color w:val="595959"/>
                          <w:sz w:val="18"/>
                          <w:szCs w:val="18"/>
                        </w:rPr>
                        <w:t xml:space="preserve">IACHR, Report No. </w:t>
                      </w:r>
                      <w:r w:rsidR="00287CDF">
                        <w:rPr>
                          <w:rFonts w:ascii="Cambria" w:hAnsi="Cambria" w:cs="Cambria"/>
                          <w:noProof/>
                          <w:color w:val="595959"/>
                          <w:sz w:val="18"/>
                          <w:szCs w:val="18"/>
                        </w:rPr>
                        <w:t>117</w:t>
                      </w:r>
                      <w:r w:rsidRPr="00942FFB">
                        <w:rPr>
                          <w:rFonts w:ascii="Cambria" w:hAnsi="Cambria" w:cs="Cambria"/>
                          <w:noProof/>
                          <w:color w:val="595959"/>
                          <w:sz w:val="18"/>
                          <w:szCs w:val="18"/>
                        </w:rPr>
                        <w:t>/</w:t>
                      </w:r>
                      <w:r w:rsidR="00287CDF">
                        <w:rPr>
                          <w:rFonts w:ascii="Cambria" w:hAnsi="Cambria" w:cs="Cambria"/>
                          <w:noProof/>
                          <w:color w:val="595959"/>
                          <w:sz w:val="18"/>
                          <w:szCs w:val="18"/>
                        </w:rPr>
                        <w:t>20</w:t>
                      </w:r>
                      <w:r w:rsidRPr="00942FFB">
                        <w:rPr>
                          <w:rFonts w:ascii="Cambria" w:hAnsi="Cambria" w:cs="Cambria"/>
                          <w:noProof/>
                          <w:color w:val="595959"/>
                          <w:sz w:val="18"/>
                          <w:szCs w:val="18"/>
                        </w:rPr>
                        <w:t xml:space="preserve">, Petition 457-09. Admissibility. Margareth Figueiredo Alves. Brazil. </w:t>
                      </w:r>
                      <w:r w:rsidR="00287CDF">
                        <w:rPr>
                          <w:rFonts w:ascii="Cambria" w:hAnsi="Cambria" w:cs="Cambria"/>
                          <w:noProof/>
                          <w:color w:val="595959"/>
                          <w:sz w:val="18"/>
                          <w:szCs w:val="18"/>
                        </w:rPr>
                        <w:t>April 25, 2020.</w:t>
                      </w:r>
                    </w:p>
                  </w:txbxContent>
                </v:textbox>
              </v:shape>
            </w:pict>
          </mc:Fallback>
        </mc:AlternateContent>
      </w:r>
    </w:p>
    <w:p w:rsidR="00211832" w:rsidRPr="0075249D" w:rsidRDefault="00211832" w:rsidP="00942FFB">
      <w:pPr>
        <w:tabs>
          <w:tab w:val="center" w:pos="5400"/>
        </w:tabs>
        <w:suppressAutoHyphens/>
        <w:jc w:val="center"/>
        <w:rPr>
          <w:rFonts w:ascii="Cambria" w:hAnsi="Cambria" w:cs="Cambria"/>
          <w:sz w:val="18"/>
          <w:szCs w:val="18"/>
        </w:rPr>
      </w:pPr>
    </w:p>
    <w:p w:rsidR="00211832" w:rsidRPr="0075249D" w:rsidRDefault="00DF654E" w:rsidP="00942FFB">
      <w:pPr>
        <w:tabs>
          <w:tab w:val="center" w:pos="5400"/>
        </w:tabs>
        <w:suppressAutoHyphens/>
        <w:jc w:val="center"/>
        <w:rPr>
          <w:rFonts w:ascii="Cambria" w:hAnsi="Cambria" w:cs="Cambria"/>
          <w:b/>
          <w:bCs/>
          <w:sz w:val="20"/>
          <w:szCs w:val="20"/>
        </w:rPr>
      </w:pPr>
      <w:r>
        <w:rPr>
          <w:noProof/>
        </w:rPr>
        <mc:AlternateContent>
          <mc:Choice Requires="wps">
            <w:drawing>
              <wp:anchor distT="0" distB="0" distL="114300" distR="114300" simplePos="0" relativeHeight="251660800" behindDoc="0" locked="0" layoutInCell="1" allowOverlap="1">
                <wp:simplePos x="0" y="0"/>
                <wp:positionH relativeFrom="column">
                  <wp:posOffset>-272415</wp:posOffset>
                </wp:positionH>
                <wp:positionV relativeFrom="paragraph">
                  <wp:posOffset>915035</wp:posOffset>
                </wp:positionV>
                <wp:extent cx="1181100" cy="33274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81100" cy="332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211832" w:rsidRPr="00287CDF" w:rsidRDefault="00211832" w:rsidP="00942FFB">
                            <w:pPr>
                              <w:jc w:val="center"/>
                              <w:rPr>
                                <w:rFonts w:ascii="Calibri" w:hAnsi="Calibri" w:cs="Calibri"/>
                                <w:b/>
                                <w:bCs/>
                                <w:noProof/>
                                <w:color w:val="FFFFFF" w:themeColor="background1"/>
                              </w:rPr>
                            </w:pPr>
                            <w:r w:rsidRPr="00287CDF">
                              <w:rPr>
                                <w:rFonts w:ascii="Calibri" w:hAnsi="Calibri" w:cs="Calibri"/>
                                <w:b/>
                                <w:bCs/>
                                <w:noProof/>
                                <w:color w:val="FFFFFF" w:themeColor="background1"/>
                              </w:rPr>
                              <w:t>www.cidh.org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id="Text Box 4" o:spid="_x0000_s1031" type="#_x0000_t202" style="position:absolute;left:0;text-align:left;margin-left:-21.45pt;margin-top:72.05pt;width:93pt;height:26.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" filled="f" stroked="f" strokeweight=".5pt">
                <v:path arrowok="t"/>
                <v:textbox>
                  <w:txbxContent>
                    <w:p w:rsidR="00211832" w:rsidRPr="00287CDF" w:rsidRDefault="00211832" w:rsidP="00942FFB">
                      <w:pPr>
                        <w:jc w:val="center"/>
                        <w:rPr>
                          <w:rFonts w:ascii="Calibri" w:hAnsi="Calibri" w:cs="Calibri"/>
                          <w:b/>
                          <w:bCs/>
                          <w:noProof/>
                          <w:color w:val="FFFFFF" w:themeColor="background1"/>
                        </w:rPr>
                      </w:pPr>
                      <w:r w:rsidRPr="00287CDF">
                        <w:rPr>
                          <w:rFonts w:ascii="Calibri" w:hAnsi="Calibri" w:cs="Calibri"/>
                          <w:b/>
                          <w:bCs/>
                          <w:noProof/>
                          <w:color w:val="FFFFFF" w:themeColor="background1"/>
                        </w:rPr>
                        <w:t>www.cidh.org</w:t>
                      </w:r>
                    </w:p>
                  </w:txbxContent>
                </v:textbox>
              </v:shape>
            </w:pict>
          </mc:Fallback>
        </mc:AlternateContent>
      </w:r>
    </w:p>
    <w:p w:rsidR="00211832" w:rsidRPr="0075249D" w:rsidRDefault="00211832" w:rsidP="00942FFB">
      <w:pPr>
        <w:tabs>
          <w:tab w:val="center" w:pos="5400"/>
        </w:tabs>
        <w:suppressAutoHyphens/>
        <w:jc w:val="center"/>
        <w:rPr>
          <w:rFonts w:ascii="Cambria" w:hAnsi="Cambria" w:cs="Cambria"/>
          <w:b/>
          <w:bCs/>
          <w:sz w:val="20"/>
          <w:szCs w:val="20"/>
        </w:rPr>
      </w:pPr>
    </w:p>
    <w:p w:rsidR="00211832" w:rsidRPr="0075249D" w:rsidRDefault="00211832" w:rsidP="00942FFB">
      <w:pPr>
        <w:tabs>
          <w:tab w:val="center" w:pos="5400"/>
        </w:tabs>
        <w:suppressAutoHyphens/>
        <w:jc w:val="center"/>
        <w:rPr>
          <w:rFonts w:ascii="Cambria" w:hAnsi="Cambria" w:cs="Cambria"/>
          <w:b/>
          <w:bCs/>
          <w:sz w:val="20"/>
          <w:szCs w:val="20"/>
        </w:rPr>
      </w:pPr>
    </w:p>
    <w:p w:rsidR="00211832" w:rsidRPr="0075249D" w:rsidRDefault="00287CDF" w:rsidP="00942FFB">
      <w:pPr>
        <w:tabs>
          <w:tab w:val="center" w:pos="5400"/>
        </w:tabs>
        <w:suppressAutoHyphens/>
        <w:jc w:val="center"/>
        <w:rPr>
          <w:rFonts w:ascii="Cambria" w:hAnsi="Cambria" w:cs="Cambria"/>
          <w:b/>
          <w:bCs/>
          <w:sz w:val="20"/>
          <w:szCs w:val="20"/>
        </w:rPr>
        <w:sectPr w:rsidR="00211832" w:rsidRPr="0075249D" w:rsidSect="00C054DF">
          <w:headerReference w:type="even" r:id="rId9"/>
          <w:headerReference w:type="default" r:id="rId10"/>
          <w:footerReference w:type="even" r:id="rId11"/>
          <w:footerReference w:type="default" r:id="rId12"/>
          <w:headerReference w:type="first" r:id="rId13"/>
          <w:footerReference w:type="first" r:id="rId14"/>
          <w:type w:val="oddPage"/>
          <w:pgSz w:w="12240" w:h="15840"/>
          <w:pgMar w:top="1440" w:right="1440" w:bottom="1440" w:left="1440" w:header="720" w:footer="720" w:gutter="0"/>
          <w:pgNumType w:start="0"/>
          <w:cols w:space="720"/>
          <w:titlePg/>
          <w:docGrid w:linePitch="326"/>
        </w:sectPr>
      </w:pPr>
      <w:r>
        <w:rPr>
          <w:noProof/>
        </w:rPr>
        <w:drawing>
          <wp:anchor distT="0" distB="0" distL="114300" distR="114300" simplePos="0" relativeHeight="251661824" behindDoc="1" locked="0" layoutInCell="1" allowOverlap="1">
            <wp:simplePos x="0" y="0"/>
            <wp:positionH relativeFrom="column">
              <wp:posOffset>1356360</wp:posOffset>
            </wp:positionH>
            <wp:positionV relativeFrom="bottomMargin">
              <wp:align>top</wp:align>
            </wp:positionV>
            <wp:extent cx="1471295" cy="341630"/>
            <wp:effectExtent l="0" t="0" r="0" b="1270"/>
            <wp:wrapNone/>
            <wp:docPr id="4"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71295" cy="341630"/>
                    </a:xfrm>
                    <a:prstGeom prst="rect">
                      <a:avLst/>
                    </a:prstGeom>
                    <a:noFill/>
                    <a:ln>
                      <a:noFill/>
                    </a:ln>
                  </pic:spPr>
                </pic:pic>
              </a:graphicData>
            </a:graphic>
          </wp:anchor>
        </w:drawing>
      </w:r>
      <w:r w:rsidR="00211832" w:rsidRPr="0075249D">
        <w:rPr>
          <w:rFonts w:ascii="Cambria" w:hAnsi="Cambria" w:cs="Cambria"/>
          <w:b/>
          <w:bCs/>
          <w:sz w:val="20"/>
          <w:szCs w:val="20"/>
        </w:rPr>
        <w:tab/>
      </w:r>
    </w:p>
    <w:p w:rsidR="00211832" w:rsidRPr="0075249D" w:rsidRDefault="00211832" w:rsidP="00942FFB">
      <w:pPr>
        <w:spacing w:after="240"/>
        <w:ind w:firstLine="720"/>
        <w:jc w:val="both"/>
        <w:rPr>
          <w:rFonts w:ascii="Cambria" w:hAnsi="Cambria" w:cs="Cambria"/>
          <w:b/>
          <w:bCs/>
          <w:sz w:val="20"/>
          <w:szCs w:val="20"/>
        </w:rPr>
      </w:pPr>
      <w:r w:rsidRPr="0075249D">
        <w:rPr>
          <w:rFonts w:ascii="Cambria" w:hAnsi="Cambria" w:cs="Cambria"/>
          <w:b/>
          <w:bCs/>
          <w:sz w:val="20"/>
          <w:szCs w:val="20"/>
        </w:rPr>
        <w:lastRenderedPageBreak/>
        <w:t>I.</w:t>
      </w:r>
      <w:r w:rsidRPr="0075249D">
        <w:rPr>
          <w:rFonts w:ascii="Cambria" w:hAnsi="Cambria" w:cs="Cambria"/>
          <w:b/>
          <w:bCs/>
          <w:sz w:val="20"/>
          <w:szCs w:val="20"/>
        </w:rPr>
        <w:tab/>
        <w:t xml:space="preserve">INFORMATION ABOUT THE PETITION </w:t>
      </w:r>
    </w:p>
    <w:tbl>
      <w:tblPr>
        <w:tblW w:w="9360" w:type="dxa"/>
        <w:tblInd w:w="-10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3600"/>
        <w:gridCol w:w="5760"/>
      </w:tblGrid>
      <w:tr w:rsidR="00211832" w:rsidRPr="0075249D">
        <w:tc>
          <w:tcPr>
            <w:tcW w:w="3600" w:type="dxa"/>
            <w:tcBorders>
              <w:top w:val="single" w:sz="4" w:space="0" w:color="auto"/>
            </w:tcBorders>
            <w:shd w:val="clear" w:color="auto" w:fill="67AE3C"/>
            <w:vAlign w:val="center"/>
          </w:tcPr>
          <w:p w:rsidR="00211832" w:rsidRPr="00AF5496" w:rsidRDefault="00211832" w:rsidP="00711997">
            <w:pPr>
              <w:jc w:val="center"/>
              <w:rPr>
                <w:rFonts w:ascii="Cambria" w:hAnsi="Cambria" w:cs="Cambria"/>
                <w:b/>
                <w:bCs/>
                <w:color w:val="FFFFFF" w:themeColor="background1"/>
                <w:sz w:val="19"/>
                <w:szCs w:val="19"/>
              </w:rPr>
            </w:pPr>
            <w:r w:rsidRPr="00AF5496">
              <w:rPr>
                <w:rFonts w:ascii="Cambria" w:hAnsi="Cambria" w:cs="Cambria"/>
                <w:b/>
                <w:bCs/>
                <w:color w:val="FFFFFF" w:themeColor="background1"/>
                <w:sz w:val="19"/>
                <w:szCs w:val="19"/>
              </w:rPr>
              <w:t>Petitioner:</w:t>
            </w:r>
          </w:p>
        </w:tc>
        <w:tc>
          <w:tcPr>
            <w:tcW w:w="5760" w:type="dxa"/>
            <w:tcBorders>
              <w:top w:val="single" w:sz="4" w:space="0" w:color="auto"/>
            </w:tcBorders>
            <w:vAlign w:val="center"/>
          </w:tcPr>
          <w:p w:rsidR="00211832" w:rsidRPr="0075249D" w:rsidRDefault="00211832" w:rsidP="00711997">
            <w:pPr>
              <w:jc w:val="both"/>
              <w:rPr>
                <w:rFonts w:ascii="Cambria" w:hAnsi="Cambria" w:cs="Cambria"/>
                <w:sz w:val="19"/>
                <w:szCs w:val="19"/>
              </w:rPr>
            </w:pPr>
            <w:r w:rsidRPr="0075249D">
              <w:rPr>
                <w:rFonts w:ascii="Cambria" w:hAnsi="Cambria" w:cs="Cambria"/>
                <w:sz w:val="19"/>
                <w:szCs w:val="19"/>
              </w:rPr>
              <w:t xml:space="preserve">Antonia </w:t>
            </w:r>
            <w:proofErr w:type="spellStart"/>
            <w:r w:rsidRPr="0075249D">
              <w:rPr>
                <w:rFonts w:ascii="Cambria" w:hAnsi="Cambria" w:cs="Cambria"/>
                <w:sz w:val="19"/>
                <w:szCs w:val="19"/>
              </w:rPr>
              <w:t>Figueiredo</w:t>
            </w:r>
            <w:proofErr w:type="spellEnd"/>
            <w:r w:rsidRPr="0075249D">
              <w:rPr>
                <w:rFonts w:ascii="Cambria" w:hAnsi="Cambria" w:cs="Cambria"/>
                <w:sz w:val="19"/>
                <w:szCs w:val="19"/>
              </w:rPr>
              <w:t xml:space="preserve"> Alves</w:t>
            </w:r>
          </w:p>
        </w:tc>
      </w:tr>
      <w:tr w:rsidR="00211832" w:rsidRPr="0075249D">
        <w:tc>
          <w:tcPr>
            <w:tcW w:w="3600" w:type="dxa"/>
            <w:shd w:val="clear" w:color="auto" w:fill="67AE3C"/>
            <w:vAlign w:val="center"/>
          </w:tcPr>
          <w:p w:rsidR="00211832" w:rsidRPr="00AF5496" w:rsidRDefault="00211832" w:rsidP="00711997">
            <w:pPr>
              <w:jc w:val="center"/>
              <w:rPr>
                <w:rFonts w:ascii="Cambria" w:hAnsi="Cambria" w:cs="Cambria"/>
                <w:b/>
                <w:bCs/>
                <w:color w:val="FFFFFF" w:themeColor="background1"/>
                <w:sz w:val="19"/>
                <w:szCs w:val="19"/>
              </w:rPr>
            </w:pPr>
            <w:r w:rsidRPr="00AF5496">
              <w:rPr>
                <w:rFonts w:ascii="Cambria" w:hAnsi="Cambria" w:cs="Cambria"/>
                <w:b/>
                <w:bCs/>
                <w:color w:val="FFFFFF" w:themeColor="background1"/>
                <w:sz w:val="19"/>
                <w:szCs w:val="19"/>
              </w:rPr>
              <w:t>Alleged victim:</w:t>
            </w:r>
          </w:p>
        </w:tc>
        <w:tc>
          <w:tcPr>
            <w:tcW w:w="5760" w:type="dxa"/>
            <w:vAlign w:val="center"/>
          </w:tcPr>
          <w:p w:rsidR="00211832" w:rsidRPr="0075249D" w:rsidRDefault="00211832" w:rsidP="00711997">
            <w:pPr>
              <w:jc w:val="both"/>
              <w:rPr>
                <w:rFonts w:ascii="Cambria" w:hAnsi="Cambria" w:cs="Cambria"/>
                <w:sz w:val="19"/>
                <w:szCs w:val="19"/>
              </w:rPr>
            </w:pPr>
            <w:proofErr w:type="spellStart"/>
            <w:r w:rsidRPr="0075249D">
              <w:rPr>
                <w:rFonts w:ascii="Cambria" w:hAnsi="Cambria" w:cs="Cambria"/>
                <w:sz w:val="19"/>
                <w:szCs w:val="19"/>
              </w:rPr>
              <w:t>Margareth</w:t>
            </w:r>
            <w:proofErr w:type="spellEnd"/>
            <w:r w:rsidRPr="0075249D">
              <w:rPr>
                <w:rFonts w:ascii="Cambria" w:hAnsi="Cambria" w:cs="Cambria"/>
                <w:sz w:val="19"/>
                <w:szCs w:val="19"/>
              </w:rPr>
              <w:t xml:space="preserve"> </w:t>
            </w:r>
            <w:proofErr w:type="spellStart"/>
            <w:r w:rsidRPr="0075249D">
              <w:rPr>
                <w:rFonts w:ascii="Cambria" w:hAnsi="Cambria" w:cs="Cambria"/>
                <w:sz w:val="19"/>
                <w:szCs w:val="19"/>
              </w:rPr>
              <w:t>Figueiredo</w:t>
            </w:r>
            <w:proofErr w:type="spellEnd"/>
            <w:r w:rsidRPr="0075249D">
              <w:rPr>
                <w:rFonts w:ascii="Cambria" w:hAnsi="Cambria" w:cs="Cambria"/>
                <w:sz w:val="19"/>
                <w:szCs w:val="19"/>
              </w:rPr>
              <w:t xml:space="preserve"> Alves</w:t>
            </w:r>
          </w:p>
        </w:tc>
      </w:tr>
      <w:tr w:rsidR="00211832" w:rsidRPr="0075249D">
        <w:tc>
          <w:tcPr>
            <w:tcW w:w="3600" w:type="dxa"/>
            <w:shd w:val="clear" w:color="auto" w:fill="67AE3C"/>
            <w:vAlign w:val="center"/>
          </w:tcPr>
          <w:p w:rsidR="00211832" w:rsidRPr="00AF5496" w:rsidRDefault="00211832" w:rsidP="00711997">
            <w:pPr>
              <w:jc w:val="center"/>
              <w:rPr>
                <w:rFonts w:ascii="Cambria" w:hAnsi="Cambria" w:cs="Cambria"/>
                <w:b/>
                <w:bCs/>
                <w:color w:val="FFFFFF" w:themeColor="background1"/>
                <w:sz w:val="19"/>
                <w:szCs w:val="19"/>
              </w:rPr>
            </w:pPr>
            <w:r w:rsidRPr="00AF5496">
              <w:rPr>
                <w:rFonts w:ascii="Cambria" w:hAnsi="Cambria" w:cs="Cambria"/>
                <w:b/>
                <w:bCs/>
                <w:color w:val="FFFFFF" w:themeColor="background1"/>
                <w:sz w:val="19"/>
                <w:szCs w:val="19"/>
              </w:rPr>
              <w:t>Respondent State:</w:t>
            </w:r>
          </w:p>
        </w:tc>
        <w:tc>
          <w:tcPr>
            <w:tcW w:w="5760" w:type="dxa"/>
            <w:vAlign w:val="center"/>
          </w:tcPr>
          <w:p w:rsidR="00211832" w:rsidRPr="0075249D" w:rsidRDefault="00211832" w:rsidP="00711997">
            <w:pPr>
              <w:jc w:val="both"/>
              <w:rPr>
                <w:rFonts w:ascii="Cambria" w:hAnsi="Cambria" w:cs="Cambria"/>
                <w:sz w:val="19"/>
                <w:szCs w:val="19"/>
              </w:rPr>
            </w:pPr>
            <w:r w:rsidRPr="0075249D">
              <w:rPr>
                <w:rFonts w:ascii="Cambria" w:hAnsi="Cambria" w:cs="Cambria"/>
                <w:sz w:val="19"/>
                <w:szCs w:val="19"/>
              </w:rPr>
              <w:t>Brazil</w:t>
            </w:r>
            <w:r w:rsidRPr="0075249D">
              <w:rPr>
                <w:rStyle w:val="FootnoteReference"/>
                <w:rFonts w:ascii="Cambria" w:hAnsi="Cambria" w:cs="Cambria"/>
                <w:sz w:val="19"/>
                <w:szCs w:val="19"/>
              </w:rPr>
              <w:footnoteReference w:id="2"/>
            </w:r>
          </w:p>
        </w:tc>
      </w:tr>
      <w:tr w:rsidR="00211832" w:rsidRPr="0075249D">
        <w:tc>
          <w:tcPr>
            <w:tcW w:w="3600" w:type="dxa"/>
            <w:tcBorders>
              <w:bottom w:val="single" w:sz="4" w:space="0" w:color="auto"/>
            </w:tcBorders>
            <w:shd w:val="clear" w:color="auto" w:fill="67AE3C"/>
            <w:vAlign w:val="center"/>
          </w:tcPr>
          <w:p w:rsidR="00211832" w:rsidRPr="00AF5496" w:rsidRDefault="00211832" w:rsidP="00711997">
            <w:pPr>
              <w:jc w:val="center"/>
              <w:rPr>
                <w:rFonts w:ascii="Cambria" w:hAnsi="Cambria" w:cs="Cambria"/>
                <w:b/>
                <w:bCs/>
                <w:color w:val="FFFFFF" w:themeColor="background1"/>
                <w:sz w:val="19"/>
                <w:szCs w:val="19"/>
              </w:rPr>
            </w:pPr>
            <w:r w:rsidRPr="00AF5496">
              <w:rPr>
                <w:rFonts w:ascii="Cambria" w:hAnsi="Cambria" w:cs="Cambria"/>
                <w:b/>
                <w:bCs/>
                <w:color w:val="FFFFFF" w:themeColor="background1"/>
                <w:sz w:val="19"/>
                <w:szCs w:val="19"/>
              </w:rPr>
              <w:t>Rights invoked:</w:t>
            </w:r>
          </w:p>
        </w:tc>
        <w:tc>
          <w:tcPr>
            <w:tcW w:w="5760" w:type="dxa"/>
            <w:tcBorders>
              <w:bottom w:val="single" w:sz="4" w:space="0" w:color="auto"/>
            </w:tcBorders>
            <w:vAlign w:val="center"/>
          </w:tcPr>
          <w:p w:rsidR="00211832" w:rsidRPr="0075249D" w:rsidRDefault="00211832" w:rsidP="00711997">
            <w:pPr>
              <w:jc w:val="both"/>
              <w:rPr>
                <w:rFonts w:ascii="Cambria" w:hAnsi="Cambria" w:cs="Cambria"/>
                <w:sz w:val="19"/>
                <w:szCs w:val="19"/>
              </w:rPr>
            </w:pPr>
            <w:r w:rsidRPr="0075249D">
              <w:rPr>
                <w:rFonts w:ascii="Cambria" w:hAnsi="Cambria" w:cs="Cambria"/>
                <w:sz w:val="19"/>
                <w:szCs w:val="19"/>
              </w:rPr>
              <w:t>4 (life), 8 (fair trial), and 25 (judicial protection) of the American Convention on Human Rights;</w:t>
            </w:r>
            <w:r w:rsidRPr="0075249D">
              <w:rPr>
                <w:rStyle w:val="FootnoteReference"/>
                <w:rFonts w:ascii="Cambria" w:hAnsi="Cambria" w:cs="Cambria"/>
                <w:sz w:val="19"/>
                <w:szCs w:val="19"/>
              </w:rPr>
              <w:footnoteReference w:id="3"/>
            </w:r>
            <w:r w:rsidRPr="0075249D">
              <w:rPr>
                <w:rFonts w:ascii="Cambria" w:hAnsi="Cambria" w:cs="Cambria"/>
                <w:sz w:val="19"/>
                <w:szCs w:val="19"/>
              </w:rPr>
              <w:t xml:space="preserve"> Article I of the American Declaration of the Rights and Duties of Man;</w:t>
            </w:r>
            <w:r w:rsidRPr="0075249D">
              <w:rPr>
                <w:rStyle w:val="FootnoteReference"/>
                <w:rFonts w:ascii="Cambria" w:hAnsi="Cambria" w:cs="Cambria"/>
                <w:sz w:val="19"/>
                <w:szCs w:val="19"/>
              </w:rPr>
              <w:footnoteReference w:id="4"/>
            </w:r>
            <w:r w:rsidRPr="0075249D">
              <w:rPr>
                <w:rFonts w:ascii="Cambria" w:hAnsi="Cambria" w:cs="Cambria"/>
                <w:sz w:val="19"/>
                <w:szCs w:val="19"/>
              </w:rPr>
              <w:t xml:space="preserve"> Articles 3, 4, 5, 6, and 7 of the Inter-American Convention on the Prevention, Punishment, and Eradication of Violence against Women</w:t>
            </w:r>
            <w:r w:rsidRPr="0075249D">
              <w:rPr>
                <w:rStyle w:val="FootnoteReference"/>
                <w:rFonts w:ascii="Cambria" w:hAnsi="Cambria" w:cs="Cambria"/>
                <w:sz w:val="19"/>
                <w:szCs w:val="19"/>
              </w:rPr>
              <w:footnoteReference w:id="5"/>
            </w:r>
          </w:p>
        </w:tc>
      </w:tr>
    </w:tbl>
    <w:p w:rsidR="00211832" w:rsidRPr="0075249D" w:rsidRDefault="00211832" w:rsidP="00942FFB">
      <w:pPr>
        <w:spacing w:before="240" w:after="240"/>
        <w:ind w:firstLine="720"/>
        <w:jc w:val="both"/>
        <w:rPr>
          <w:rFonts w:ascii="Cambria" w:hAnsi="Cambria" w:cs="Cambria"/>
          <w:b/>
          <w:bCs/>
          <w:sz w:val="20"/>
          <w:szCs w:val="20"/>
        </w:rPr>
      </w:pPr>
      <w:r w:rsidRPr="0075249D">
        <w:rPr>
          <w:rFonts w:ascii="Cambria" w:hAnsi="Cambria" w:cs="Cambria"/>
          <w:b/>
          <w:bCs/>
          <w:sz w:val="20"/>
          <w:szCs w:val="20"/>
        </w:rPr>
        <w:t>II.</w:t>
      </w:r>
      <w:r w:rsidRPr="0075249D">
        <w:rPr>
          <w:rFonts w:ascii="Cambria" w:hAnsi="Cambria" w:cs="Cambria"/>
          <w:b/>
          <w:bCs/>
          <w:sz w:val="20"/>
          <w:szCs w:val="20"/>
        </w:rPr>
        <w:tab/>
        <w:t>PROCEEDINGS BEFORE THE IACHR</w:t>
      </w:r>
      <w:r w:rsidRPr="0075249D">
        <w:rPr>
          <w:rFonts w:ascii="Cambria" w:hAnsi="Cambria" w:cs="Cambria"/>
          <w:b/>
          <w:bCs/>
          <w:sz w:val="20"/>
          <w:szCs w:val="20"/>
          <w:vertAlign w:val="superscript"/>
        </w:rPr>
        <w:footnoteReference w:id="6"/>
      </w:r>
    </w:p>
    <w:tbl>
      <w:tblPr>
        <w:tblW w:w="9360" w:type="dxa"/>
        <w:tblInd w:w="-10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3600"/>
        <w:gridCol w:w="5760"/>
      </w:tblGrid>
      <w:tr w:rsidR="00211832" w:rsidRPr="0075249D">
        <w:tc>
          <w:tcPr>
            <w:tcW w:w="3600" w:type="dxa"/>
            <w:tcBorders>
              <w:top w:val="single" w:sz="4" w:space="0" w:color="auto"/>
            </w:tcBorders>
            <w:shd w:val="clear" w:color="auto" w:fill="67AE3C"/>
            <w:vAlign w:val="center"/>
          </w:tcPr>
          <w:p w:rsidR="00211832" w:rsidRPr="00AF5496" w:rsidRDefault="00211832" w:rsidP="00711997">
            <w:pPr>
              <w:jc w:val="center"/>
              <w:rPr>
                <w:rFonts w:ascii="Cambria" w:hAnsi="Cambria" w:cs="Cambria"/>
                <w:b/>
                <w:bCs/>
                <w:color w:val="FFFFFF" w:themeColor="background1"/>
                <w:sz w:val="19"/>
                <w:szCs w:val="19"/>
              </w:rPr>
            </w:pPr>
            <w:r w:rsidRPr="00AF5496">
              <w:rPr>
                <w:rFonts w:ascii="Cambria" w:hAnsi="Cambria" w:cs="Cambria"/>
                <w:b/>
                <w:bCs/>
                <w:color w:val="FFFFFF" w:themeColor="background1"/>
                <w:sz w:val="19"/>
                <w:szCs w:val="19"/>
              </w:rPr>
              <w:t>Filing of the petition:</w:t>
            </w:r>
          </w:p>
        </w:tc>
        <w:tc>
          <w:tcPr>
            <w:tcW w:w="5760" w:type="dxa"/>
            <w:tcBorders>
              <w:top w:val="single" w:sz="4" w:space="0" w:color="auto"/>
            </w:tcBorders>
            <w:vAlign w:val="center"/>
          </w:tcPr>
          <w:p w:rsidR="00211832" w:rsidRPr="0075249D" w:rsidRDefault="00211832" w:rsidP="00711997">
            <w:pPr>
              <w:jc w:val="both"/>
              <w:rPr>
                <w:rFonts w:ascii="Cambria" w:hAnsi="Cambria" w:cs="Cambria"/>
                <w:sz w:val="19"/>
                <w:szCs w:val="19"/>
              </w:rPr>
            </w:pPr>
            <w:r w:rsidRPr="0075249D">
              <w:rPr>
                <w:rFonts w:ascii="Cambria" w:hAnsi="Cambria" w:cs="Cambria"/>
                <w:sz w:val="19"/>
                <w:szCs w:val="19"/>
              </w:rPr>
              <w:t>August 4, 2009</w:t>
            </w:r>
          </w:p>
        </w:tc>
      </w:tr>
      <w:tr w:rsidR="00211832" w:rsidRPr="0075249D">
        <w:tc>
          <w:tcPr>
            <w:tcW w:w="3600" w:type="dxa"/>
            <w:shd w:val="clear" w:color="auto" w:fill="67AE3C"/>
            <w:vAlign w:val="center"/>
          </w:tcPr>
          <w:p w:rsidR="00211832" w:rsidRPr="00AF5496" w:rsidRDefault="00211832" w:rsidP="00711997">
            <w:pPr>
              <w:jc w:val="center"/>
              <w:rPr>
                <w:rFonts w:ascii="Cambria" w:hAnsi="Cambria" w:cs="Cambria"/>
                <w:b/>
                <w:bCs/>
                <w:color w:val="FFFFFF" w:themeColor="background1"/>
                <w:sz w:val="19"/>
                <w:szCs w:val="19"/>
              </w:rPr>
            </w:pPr>
            <w:r w:rsidRPr="00AF5496">
              <w:rPr>
                <w:rFonts w:ascii="Cambria" w:hAnsi="Cambria" w:cs="Cambria"/>
                <w:b/>
                <w:bCs/>
                <w:color w:val="FFFFFF" w:themeColor="background1"/>
                <w:sz w:val="19"/>
                <w:szCs w:val="19"/>
              </w:rPr>
              <w:t>Notification of the petition to the State:</w:t>
            </w:r>
          </w:p>
        </w:tc>
        <w:tc>
          <w:tcPr>
            <w:tcW w:w="5760" w:type="dxa"/>
            <w:vAlign w:val="center"/>
          </w:tcPr>
          <w:p w:rsidR="00211832" w:rsidRPr="0075249D" w:rsidRDefault="00211832" w:rsidP="00711997">
            <w:pPr>
              <w:jc w:val="both"/>
              <w:rPr>
                <w:rFonts w:ascii="Cambria" w:hAnsi="Cambria" w:cs="Cambria"/>
                <w:sz w:val="19"/>
                <w:szCs w:val="19"/>
              </w:rPr>
            </w:pPr>
            <w:r w:rsidRPr="0075249D">
              <w:rPr>
                <w:rFonts w:ascii="Cambria" w:hAnsi="Cambria" w:cs="Cambria"/>
                <w:sz w:val="19"/>
                <w:szCs w:val="19"/>
              </w:rPr>
              <w:t>May 17, 2016</w:t>
            </w:r>
          </w:p>
        </w:tc>
      </w:tr>
      <w:tr w:rsidR="00211832" w:rsidRPr="0075249D">
        <w:tc>
          <w:tcPr>
            <w:tcW w:w="3600" w:type="dxa"/>
            <w:shd w:val="clear" w:color="auto" w:fill="67AE3C"/>
            <w:vAlign w:val="center"/>
          </w:tcPr>
          <w:p w:rsidR="00211832" w:rsidRPr="00AF5496" w:rsidRDefault="00211832" w:rsidP="00711997">
            <w:pPr>
              <w:jc w:val="center"/>
              <w:rPr>
                <w:rFonts w:ascii="Cambria" w:hAnsi="Cambria" w:cs="Cambria"/>
                <w:b/>
                <w:bCs/>
                <w:color w:val="FFFFFF" w:themeColor="background1"/>
                <w:sz w:val="19"/>
                <w:szCs w:val="19"/>
              </w:rPr>
            </w:pPr>
            <w:r w:rsidRPr="00AF5496">
              <w:rPr>
                <w:rFonts w:ascii="Cambria" w:hAnsi="Cambria" w:cs="Cambria"/>
                <w:b/>
                <w:bCs/>
                <w:color w:val="FFFFFF" w:themeColor="background1"/>
                <w:sz w:val="19"/>
                <w:szCs w:val="19"/>
              </w:rPr>
              <w:t>State’s first response:</w:t>
            </w:r>
          </w:p>
        </w:tc>
        <w:tc>
          <w:tcPr>
            <w:tcW w:w="5760" w:type="dxa"/>
            <w:vAlign w:val="center"/>
          </w:tcPr>
          <w:p w:rsidR="00211832" w:rsidRPr="0075249D" w:rsidRDefault="00211832" w:rsidP="00711997">
            <w:pPr>
              <w:jc w:val="both"/>
              <w:rPr>
                <w:rFonts w:ascii="Cambria" w:hAnsi="Cambria" w:cs="Cambria"/>
                <w:sz w:val="19"/>
                <w:szCs w:val="19"/>
              </w:rPr>
            </w:pPr>
            <w:r w:rsidRPr="0075249D">
              <w:rPr>
                <w:rFonts w:ascii="Cambria" w:hAnsi="Cambria" w:cs="Cambria"/>
                <w:sz w:val="19"/>
                <w:szCs w:val="19"/>
              </w:rPr>
              <w:t>September 21, 2016</w:t>
            </w:r>
          </w:p>
        </w:tc>
      </w:tr>
      <w:tr w:rsidR="00211832" w:rsidRPr="0075249D">
        <w:tc>
          <w:tcPr>
            <w:tcW w:w="3600" w:type="dxa"/>
            <w:shd w:val="clear" w:color="auto" w:fill="67AE3C"/>
            <w:vAlign w:val="center"/>
          </w:tcPr>
          <w:p w:rsidR="00211832" w:rsidRPr="00AF5496" w:rsidRDefault="00211832" w:rsidP="00711997">
            <w:pPr>
              <w:jc w:val="center"/>
              <w:rPr>
                <w:rFonts w:ascii="Cambria" w:hAnsi="Cambria" w:cs="Cambria"/>
                <w:b/>
                <w:bCs/>
                <w:color w:val="FFFFFF" w:themeColor="background1"/>
                <w:sz w:val="19"/>
                <w:szCs w:val="19"/>
              </w:rPr>
            </w:pPr>
            <w:r w:rsidRPr="00AF5496">
              <w:rPr>
                <w:rFonts w:ascii="Cambria" w:hAnsi="Cambria" w:cs="Cambria"/>
                <w:b/>
                <w:bCs/>
                <w:color w:val="FFFFFF" w:themeColor="background1"/>
                <w:sz w:val="19"/>
                <w:szCs w:val="19"/>
              </w:rPr>
              <w:t>Additional observations from the petitioner:</w:t>
            </w:r>
          </w:p>
        </w:tc>
        <w:tc>
          <w:tcPr>
            <w:tcW w:w="5760" w:type="dxa"/>
            <w:vAlign w:val="center"/>
          </w:tcPr>
          <w:p w:rsidR="00211832" w:rsidRPr="0075249D" w:rsidRDefault="00211832" w:rsidP="00711997">
            <w:pPr>
              <w:jc w:val="both"/>
              <w:rPr>
                <w:rFonts w:ascii="Cambria" w:hAnsi="Cambria" w:cs="Cambria"/>
                <w:sz w:val="19"/>
                <w:szCs w:val="19"/>
              </w:rPr>
            </w:pPr>
            <w:r w:rsidRPr="0075249D">
              <w:rPr>
                <w:rFonts w:ascii="Cambria" w:hAnsi="Cambria" w:cs="Cambria"/>
                <w:sz w:val="19"/>
                <w:szCs w:val="19"/>
              </w:rPr>
              <w:t>March 13, 2018, and December 15, 2018</w:t>
            </w:r>
          </w:p>
        </w:tc>
      </w:tr>
      <w:tr w:rsidR="00211832" w:rsidRPr="0075249D">
        <w:tc>
          <w:tcPr>
            <w:tcW w:w="3600" w:type="dxa"/>
            <w:tcBorders>
              <w:bottom w:val="single" w:sz="4" w:space="0" w:color="auto"/>
            </w:tcBorders>
            <w:shd w:val="clear" w:color="auto" w:fill="67AE3C"/>
            <w:vAlign w:val="center"/>
          </w:tcPr>
          <w:p w:rsidR="00211832" w:rsidRPr="00AF5496" w:rsidRDefault="00211832" w:rsidP="00711997">
            <w:pPr>
              <w:jc w:val="center"/>
              <w:rPr>
                <w:rFonts w:ascii="Cambria" w:hAnsi="Cambria" w:cs="Cambria"/>
                <w:b/>
                <w:bCs/>
                <w:color w:val="FFFFFF" w:themeColor="background1"/>
                <w:sz w:val="19"/>
                <w:szCs w:val="19"/>
              </w:rPr>
            </w:pPr>
            <w:r w:rsidRPr="00AF5496">
              <w:rPr>
                <w:rFonts w:ascii="Cambria" w:hAnsi="Cambria" w:cs="Cambria"/>
                <w:b/>
                <w:bCs/>
                <w:color w:val="FFFFFF" w:themeColor="background1"/>
                <w:sz w:val="19"/>
                <w:szCs w:val="19"/>
              </w:rPr>
              <w:t>Additional observations from the State:</w:t>
            </w:r>
          </w:p>
        </w:tc>
        <w:tc>
          <w:tcPr>
            <w:tcW w:w="5760" w:type="dxa"/>
            <w:tcBorders>
              <w:bottom w:val="single" w:sz="4" w:space="0" w:color="auto"/>
            </w:tcBorders>
            <w:vAlign w:val="center"/>
          </w:tcPr>
          <w:p w:rsidR="00211832" w:rsidRPr="0075249D" w:rsidRDefault="00211832" w:rsidP="00711997">
            <w:pPr>
              <w:jc w:val="both"/>
              <w:rPr>
                <w:rFonts w:ascii="Cambria" w:hAnsi="Cambria" w:cs="Cambria"/>
                <w:sz w:val="19"/>
                <w:szCs w:val="19"/>
              </w:rPr>
            </w:pPr>
            <w:r w:rsidRPr="0075249D">
              <w:rPr>
                <w:rFonts w:ascii="Cambria" w:hAnsi="Cambria" w:cs="Cambria"/>
                <w:sz w:val="19"/>
                <w:szCs w:val="19"/>
              </w:rPr>
              <w:t>April 5, 2019</w:t>
            </w:r>
          </w:p>
        </w:tc>
      </w:tr>
    </w:tbl>
    <w:p w:rsidR="00211832" w:rsidRPr="0075249D" w:rsidRDefault="00211832" w:rsidP="00942FFB">
      <w:pPr>
        <w:spacing w:before="240" w:after="240"/>
        <w:ind w:firstLine="720"/>
        <w:jc w:val="both"/>
        <w:rPr>
          <w:rFonts w:ascii="Cambria" w:hAnsi="Cambria" w:cs="Cambria"/>
          <w:b/>
          <w:bCs/>
          <w:sz w:val="20"/>
          <w:szCs w:val="20"/>
        </w:rPr>
      </w:pPr>
      <w:r w:rsidRPr="0075249D">
        <w:rPr>
          <w:rFonts w:ascii="Cambria" w:hAnsi="Cambria" w:cs="Cambria"/>
          <w:b/>
          <w:bCs/>
          <w:sz w:val="20"/>
          <w:szCs w:val="20"/>
        </w:rPr>
        <w:t xml:space="preserve">III. </w:t>
      </w:r>
      <w:r w:rsidRPr="0075249D">
        <w:rPr>
          <w:rFonts w:ascii="Cambria" w:hAnsi="Cambria" w:cs="Cambria"/>
          <w:b/>
          <w:bCs/>
          <w:sz w:val="20"/>
          <w:szCs w:val="20"/>
        </w:rPr>
        <w:tab/>
        <w:t>COMPETENCE</w:t>
      </w:r>
      <w:r w:rsidRPr="0075249D">
        <w:rPr>
          <w:rFonts w:ascii="Cambria" w:hAnsi="Cambria" w:cs="Cambria"/>
          <w:sz w:val="20"/>
          <w:szCs w:val="20"/>
        </w:rPr>
        <w:t xml:space="preserve"> </w:t>
      </w:r>
    </w:p>
    <w:tbl>
      <w:tblPr>
        <w:tblW w:w="0" w:type="auto"/>
        <w:tblInd w:w="-10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3600"/>
        <w:gridCol w:w="5760"/>
      </w:tblGrid>
      <w:tr w:rsidR="00211832" w:rsidRPr="0075249D">
        <w:trPr>
          <w:cantSplit/>
        </w:trPr>
        <w:tc>
          <w:tcPr>
            <w:tcW w:w="3600" w:type="dxa"/>
            <w:tcBorders>
              <w:top w:val="single" w:sz="4" w:space="0" w:color="auto"/>
            </w:tcBorders>
            <w:shd w:val="clear" w:color="auto" w:fill="67AE3C"/>
            <w:vAlign w:val="center"/>
          </w:tcPr>
          <w:p w:rsidR="00211832" w:rsidRPr="00AF5496" w:rsidRDefault="00211832" w:rsidP="00711997">
            <w:pPr>
              <w:jc w:val="center"/>
              <w:rPr>
                <w:rFonts w:ascii="Cambria" w:hAnsi="Cambria" w:cs="Cambria"/>
                <w:b/>
                <w:bCs/>
                <w:i/>
                <w:iCs/>
                <w:color w:val="FFFFFF" w:themeColor="background1"/>
                <w:sz w:val="19"/>
                <w:szCs w:val="19"/>
              </w:rPr>
            </w:pPr>
            <w:r w:rsidRPr="00AF5496">
              <w:rPr>
                <w:rFonts w:ascii="Cambria" w:hAnsi="Cambria" w:cs="Cambria"/>
                <w:b/>
                <w:bCs/>
                <w:color w:val="FFFFFF" w:themeColor="background1"/>
                <w:sz w:val="19"/>
                <w:szCs w:val="19"/>
              </w:rPr>
              <w:t>Competence</w:t>
            </w:r>
            <w:r w:rsidRPr="00AF5496">
              <w:rPr>
                <w:rFonts w:ascii="Cambria" w:hAnsi="Cambria" w:cs="Cambria"/>
                <w:b/>
                <w:bCs/>
                <w:i/>
                <w:iCs/>
                <w:color w:val="FFFFFF" w:themeColor="background1"/>
                <w:sz w:val="19"/>
                <w:szCs w:val="19"/>
              </w:rPr>
              <w:t xml:space="preserve"> </w:t>
            </w:r>
            <w:proofErr w:type="spellStart"/>
            <w:r w:rsidRPr="00AF5496">
              <w:rPr>
                <w:rFonts w:ascii="Cambria" w:hAnsi="Cambria" w:cs="Cambria"/>
                <w:b/>
                <w:bCs/>
                <w:i/>
                <w:iCs/>
                <w:color w:val="FFFFFF" w:themeColor="background1"/>
                <w:sz w:val="19"/>
                <w:szCs w:val="19"/>
              </w:rPr>
              <w:t>Ratione</w:t>
            </w:r>
            <w:proofErr w:type="spellEnd"/>
            <w:r w:rsidRPr="00AF5496">
              <w:rPr>
                <w:rFonts w:ascii="Cambria" w:hAnsi="Cambria" w:cs="Cambria"/>
                <w:b/>
                <w:bCs/>
                <w:i/>
                <w:iCs/>
                <w:color w:val="FFFFFF" w:themeColor="background1"/>
                <w:sz w:val="19"/>
                <w:szCs w:val="19"/>
              </w:rPr>
              <w:t xml:space="preserve"> personae:</w:t>
            </w:r>
          </w:p>
        </w:tc>
        <w:tc>
          <w:tcPr>
            <w:tcW w:w="5760" w:type="dxa"/>
            <w:tcBorders>
              <w:top w:val="single" w:sz="4" w:space="0" w:color="auto"/>
            </w:tcBorders>
            <w:vAlign w:val="center"/>
          </w:tcPr>
          <w:p w:rsidR="00211832" w:rsidRPr="0075249D" w:rsidRDefault="00211832" w:rsidP="00711997">
            <w:pPr>
              <w:rPr>
                <w:rFonts w:ascii="Cambria" w:hAnsi="Cambria" w:cs="Cambria"/>
                <w:sz w:val="19"/>
                <w:szCs w:val="19"/>
              </w:rPr>
            </w:pPr>
            <w:r w:rsidRPr="0075249D">
              <w:rPr>
                <w:rFonts w:ascii="Cambria" w:hAnsi="Cambria" w:cs="Cambria"/>
                <w:sz w:val="19"/>
                <w:szCs w:val="19"/>
              </w:rPr>
              <w:t>Yes</w:t>
            </w:r>
          </w:p>
        </w:tc>
      </w:tr>
      <w:tr w:rsidR="00211832" w:rsidRPr="0075249D">
        <w:trPr>
          <w:cantSplit/>
        </w:trPr>
        <w:tc>
          <w:tcPr>
            <w:tcW w:w="3600" w:type="dxa"/>
            <w:shd w:val="clear" w:color="auto" w:fill="67AE3C"/>
            <w:vAlign w:val="center"/>
          </w:tcPr>
          <w:p w:rsidR="00211832" w:rsidRPr="00AF5496" w:rsidRDefault="00211832" w:rsidP="00711997">
            <w:pPr>
              <w:jc w:val="center"/>
              <w:rPr>
                <w:rFonts w:ascii="Cambria" w:hAnsi="Cambria" w:cs="Cambria"/>
                <w:b/>
                <w:bCs/>
                <w:color w:val="FFFFFF" w:themeColor="background1"/>
                <w:sz w:val="19"/>
                <w:szCs w:val="19"/>
              </w:rPr>
            </w:pPr>
            <w:r w:rsidRPr="00AF5496">
              <w:rPr>
                <w:rFonts w:ascii="Cambria" w:hAnsi="Cambria" w:cs="Cambria"/>
                <w:b/>
                <w:bCs/>
                <w:color w:val="FFFFFF" w:themeColor="background1"/>
                <w:sz w:val="19"/>
                <w:szCs w:val="19"/>
              </w:rPr>
              <w:t>Competence</w:t>
            </w:r>
            <w:r w:rsidRPr="00AF5496">
              <w:rPr>
                <w:rFonts w:ascii="Cambria" w:hAnsi="Cambria" w:cs="Cambria"/>
                <w:b/>
                <w:bCs/>
                <w:i/>
                <w:iCs/>
                <w:color w:val="FFFFFF" w:themeColor="background1"/>
                <w:sz w:val="19"/>
                <w:szCs w:val="19"/>
              </w:rPr>
              <w:t xml:space="preserve"> </w:t>
            </w:r>
            <w:proofErr w:type="spellStart"/>
            <w:r w:rsidRPr="00AF5496">
              <w:rPr>
                <w:rFonts w:ascii="Cambria" w:hAnsi="Cambria" w:cs="Cambria"/>
                <w:b/>
                <w:bCs/>
                <w:i/>
                <w:iCs/>
                <w:color w:val="FFFFFF" w:themeColor="background1"/>
                <w:sz w:val="19"/>
                <w:szCs w:val="19"/>
              </w:rPr>
              <w:t>Ratione</w:t>
            </w:r>
            <w:proofErr w:type="spellEnd"/>
            <w:r w:rsidRPr="00AF5496">
              <w:rPr>
                <w:rFonts w:ascii="Cambria" w:hAnsi="Cambria" w:cs="Cambria"/>
                <w:b/>
                <w:bCs/>
                <w:i/>
                <w:iCs/>
                <w:color w:val="FFFFFF" w:themeColor="background1"/>
                <w:sz w:val="19"/>
                <w:szCs w:val="19"/>
              </w:rPr>
              <w:t xml:space="preserve"> loci</w:t>
            </w:r>
            <w:r w:rsidRPr="00AF5496">
              <w:rPr>
                <w:rFonts w:ascii="Cambria" w:hAnsi="Cambria" w:cs="Cambria"/>
                <w:b/>
                <w:bCs/>
                <w:color w:val="FFFFFF" w:themeColor="background1"/>
                <w:sz w:val="19"/>
                <w:szCs w:val="19"/>
              </w:rPr>
              <w:t>:</w:t>
            </w:r>
          </w:p>
        </w:tc>
        <w:tc>
          <w:tcPr>
            <w:tcW w:w="5760" w:type="dxa"/>
            <w:vAlign w:val="center"/>
          </w:tcPr>
          <w:p w:rsidR="00211832" w:rsidRPr="0075249D" w:rsidRDefault="00211832" w:rsidP="00711997">
            <w:pPr>
              <w:rPr>
                <w:rFonts w:ascii="Cambria" w:hAnsi="Cambria" w:cs="Cambria"/>
                <w:sz w:val="19"/>
                <w:szCs w:val="19"/>
              </w:rPr>
            </w:pPr>
            <w:r w:rsidRPr="0075249D">
              <w:rPr>
                <w:rFonts w:ascii="Cambria" w:hAnsi="Cambria" w:cs="Cambria"/>
                <w:sz w:val="19"/>
                <w:szCs w:val="19"/>
              </w:rPr>
              <w:t>Yes</w:t>
            </w:r>
          </w:p>
        </w:tc>
      </w:tr>
      <w:tr w:rsidR="00211832" w:rsidRPr="0075249D">
        <w:trPr>
          <w:cantSplit/>
        </w:trPr>
        <w:tc>
          <w:tcPr>
            <w:tcW w:w="3600" w:type="dxa"/>
            <w:shd w:val="clear" w:color="auto" w:fill="67AE3C"/>
            <w:vAlign w:val="center"/>
          </w:tcPr>
          <w:p w:rsidR="00211832" w:rsidRPr="00AF5496" w:rsidRDefault="00211832" w:rsidP="00711997">
            <w:pPr>
              <w:jc w:val="center"/>
              <w:rPr>
                <w:rFonts w:ascii="Cambria" w:hAnsi="Cambria" w:cs="Cambria"/>
                <w:b/>
                <w:bCs/>
                <w:color w:val="FFFFFF" w:themeColor="background1"/>
                <w:sz w:val="19"/>
                <w:szCs w:val="19"/>
              </w:rPr>
            </w:pPr>
            <w:r w:rsidRPr="00AF5496">
              <w:rPr>
                <w:rFonts w:ascii="Cambria" w:hAnsi="Cambria" w:cs="Cambria"/>
                <w:b/>
                <w:bCs/>
                <w:color w:val="FFFFFF" w:themeColor="background1"/>
                <w:sz w:val="19"/>
                <w:szCs w:val="19"/>
              </w:rPr>
              <w:t>Competence</w:t>
            </w:r>
            <w:r w:rsidRPr="00AF5496">
              <w:rPr>
                <w:rFonts w:ascii="Cambria" w:hAnsi="Cambria" w:cs="Cambria"/>
                <w:b/>
                <w:bCs/>
                <w:i/>
                <w:iCs/>
                <w:color w:val="FFFFFF" w:themeColor="background1"/>
                <w:sz w:val="19"/>
                <w:szCs w:val="19"/>
              </w:rPr>
              <w:t xml:space="preserve"> </w:t>
            </w:r>
            <w:proofErr w:type="spellStart"/>
            <w:r w:rsidRPr="00AF5496">
              <w:rPr>
                <w:rFonts w:ascii="Cambria" w:hAnsi="Cambria" w:cs="Cambria"/>
                <w:b/>
                <w:bCs/>
                <w:i/>
                <w:iCs/>
                <w:color w:val="FFFFFF" w:themeColor="background1"/>
                <w:sz w:val="19"/>
                <w:szCs w:val="19"/>
              </w:rPr>
              <w:t>Ratione</w:t>
            </w:r>
            <w:proofErr w:type="spellEnd"/>
            <w:r w:rsidRPr="00AF5496">
              <w:rPr>
                <w:rFonts w:ascii="Cambria" w:hAnsi="Cambria" w:cs="Cambria"/>
                <w:b/>
                <w:bCs/>
                <w:i/>
                <w:iCs/>
                <w:color w:val="FFFFFF" w:themeColor="background1"/>
                <w:sz w:val="19"/>
                <w:szCs w:val="19"/>
              </w:rPr>
              <w:t xml:space="preserve"> </w:t>
            </w:r>
            <w:proofErr w:type="spellStart"/>
            <w:r w:rsidRPr="00AF5496">
              <w:rPr>
                <w:rFonts w:ascii="Cambria" w:hAnsi="Cambria" w:cs="Cambria"/>
                <w:b/>
                <w:bCs/>
                <w:i/>
                <w:iCs/>
                <w:color w:val="FFFFFF" w:themeColor="background1"/>
                <w:sz w:val="19"/>
                <w:szCs w:val="19"/>
              </w:rPr>
              <w:t>temporis</w:t>
            </w:r>
            <w:proofErr w:type="spellEnd"/>
            <w:r w:rsidRPr="00AF5496">
              <w:rPr>
                <w:rFonts w:ascii="Cambria" w:hAnsi="Cambria" w:cs="Cambria"/>
                <w:b/>
                <w:bCs/>
                <w:color w:val="FFFFFF" w:themeColor="background1"/>
                <w:sz w:val="19"/>
                <w:szCs w:val="19"/>
              </w:rPr>
              <w:t>:</w:t>
            </w:r>
          </w:p>
        </w:tc>
        <w:tc>
          <w:tcPr>
            <w:tcW w:w="5760" w:type="dxa"/>
            <w:vAlign w:val="center"/>
          </w:tcPr>
          <w:p w:rsidR="00211832" w:rsidRPr="0075249D" w:rsidRDefault="00211832" w:rsidP="00711997">
            <w:pPr>
              <w:rPr>
                <w:rFonts w:ascii="Cambria" w:hAnsi="Cambria" w:cs="Cambria"/>
                <w:sz w:val="19"/>
                <w:szCs w:val="19"/>
              </w:rPr>
            </w:pPr>
            <w:r w:rsidRPr="0075249D">
              <w:rPr>
                <w:rFonts w:ascii="Cambria" w:hAnsi="Cambria" w:cs="Cambria"/>
                <w:sz w:val="19"/>
                <w:szCs w:val="19"/>
              </w:rPr>
              <w:t>Yes</w:t>
            </w:r>
          </w:p>
        </w:tc>
      </w:tr>
      <w:tr w:rsidR="00211832" w:rsidRPr="0075249D">
        <w:trPr>
          <w:cantSplit/>
        </w:trPr>
        <w:tc>
          <w:tcPr>
            <w:tcW w:w="3600" w:type="dxa"/>
            <w:tcBorders>
              <w:bottom w:val="single" w:sz="4" w:space="0" w:color="auto"/>
            </w:tcBorders>
            <w:shd w:val="clear" w:color="auto" w:fill="67AE3C"/>
            <w:vAlign w:val="center"/>
          </w:tcPr>
          <w:p w:rsidR="00211832" w:rsidRPr="00AF5496" w:rsidRDefault="00211832" w:rsidP="00711997">
            <w:pPr>
              <w:jc w:val="center"/>
              <w:rPr>
                <w:rFonts w:ascii="Cambria" w:hAnsi="Cambria" w:cs="Cambria"/>
                <w:b/>
                <w:bCs/>
                <w:color w:val="FFFFFF" w:themeColor="background1"/>
                <w:sz w:val="19"/>
                <w:szCs w:val="19"/>
              </w:rPr>
            </w:pPr>
            <w:r w:rsidRPr="00AF5496">
              <w:rPr>
                <w:rFonts w:ascii="Cambria" w:hAnsi="Cambria" w:cs="Cambria"/>
                <w:b/>
                <w:bCs/>
                <w:color w:val="FFFFFF" w:themeColor="background1"/>
                <w:sz w:val="19"/>
                <w:szCs w:val="19"/>
              </w:rPr>
              <w:t>Competence</w:t>
            </w:r>
            <w:r w:rsidRPr="00AF5496">
              <w:rPr>
                <w:rFonts w:ascii="Cambria" w:hAnsi="Cambria" w:cs="Cambria"/>
                <w:b/>
                <w:bCs/>
                <w:i/>
                <w:iCs/>
                <w:color w:val="FFFFFF" w:themeColor="background1"/>
                <w:sz w:val="19"/>
                <w:szCs w:val="19"/>
              </w:rPr>
              <w:t xml:space="preserve"> </w:t>
            </w:r>
            <w:proofErr w:type="spellStart"/>
            <w:r w:rsidRPr="00AF5496">
              <w:rPr>
                <w:rFonts w:ascii="Cambria" w:hAnsi="Cambria" w:cs="Cambria"/>
                <w:b/>
                <w:bCs/>
                <w:i/>
                <w:iCs/>
                <w:color w:val="FFFFFF" w:themeColor="background1"/>
                <w:sz w:val="19"/>
                <w:szCs w:val="19"/>
              </w:rPr>
              <w:t>Ratione</w:t>
            </w:r>
            <w:proofErr w:type="spellEnd"/>
            <w:r w:rsidRPr="00AF5496">
              <w:rPr>
                <w:rFonts w:ascii="Cambria" w:hAnsi="Cambria" w:cs="Cambria"/>
                <w:b/>
                <w:bCs/>
                <w:i/>
                <w:iCs/>
                <w:color w:val="FFFFFF" w:themeColor="background1"/>
                <w:sz w:val="19"/>
                <w:szCs w:val="19"/>
              </w:rPr>
              <w:t xml:space="preserve"> </w:t>
            </w:r>
            <w:proofErr w:type="spellStart"/>
            <w:r w:rsidRPr="00AF5496">
              <w:rPr>
                <w:rFonts w:ascii="Cambria" w:hAnsi="Cambria" w:cs="Cambria"/>
                <w:b/>
                <w:bCs/>
                <w:i/>
                <w:iCs/>
                <w:color w:val="FFFFFF" w:themeColor="background1"/>
                <w:sz w:val="19"/>
                <w:szCs w:val="19"/>
              </w:rPr>
              <w:t>materiae</w:t>
            </w:r>
            <w:proofErr w:type="spellEnd"/>
            <w:r w:rsidRPr="00AF5496">
              <w:rPr>
                <w:rFonts w:ascii="Cambria" w:hAnsi="Cambria" w:cs="Cambria"/>
                <w:b/>
                <w:bCs/>
                <w:color w:val="FFFFFF" w:themeColor="background1"/>
                <w:sz w:val="19"/>
                <w:szCs w:val="19"/>
              </w:rPr>
              <w:t>:</w:t>
            </w:r>
          </w:p>
        </w:tc>
        <w:tc>
          <w:tcPr>
            <w:tcW w:w="5760" w:type="dxa"/>
            <w:tcBorders>
              <w:bottom w:val="single" w:sz="4" w:space="0" w:color="auto"/>
            </w:tcBorders>
            <w:vAlign w:val="center"/>
          </w:tcPr>
          <w:p w:rsidR="00211832" w:rsidRPr="0075249D" w:rsidRDefault="00211832" w:rsidP="00711997">
            <w:pPr>
              <w:jc w:val="both"/>
              <w:rPr>
                <w:rFonts w:ascii="Cambria" w:hAnsi="Cambria" w:cs="Cambria"/>
                <w:sz w:val="19"/>
                <w:szCs w:val="19"/>
              </w:rPr>
            </w:pPr>
            <w:r w:rsidRPr="0075249D">
              <w:rPr>
                <w:rFonts w:ascii="Cambria" w:hAnsi="Cambria" w:cs="Cambria"/>
                <w:sz w:val="19"/>
                <w:szCs w:val="19"/>
              </w:rPr>
              <w:t xml:space="preserve">Yes, American Convention (instrument adopted on September 25, 1992) and Convention of </w:t>
            </w:r>
            <w:proofErr w:type="spellStart"/>
            <w:r w:rsidRPr="0075249D">
              <w:rPr>
                <w:rFonts w:ascii="Cambria" w:hAnsi="Cambria" w:cs="Cambria"/>
                <w:sz w:val="19"/>
                <w:szCs w:val="19"/>
              </w:rPr>
              <w:t>Belém</w:t>
            </w:r>
            <w:proofErr w:type="spellEnd"/>
            <w:r w:rsidRPr="0075249D">
              <w:rPr>
                <w:rFonts w:ascii="Cambria" w:hAnsi="Cambria" w:cs="Cambria"/>
                <w:sz w:val="19"/>
                <w:szCs w:val="19"/>
              </w:rPr>
              <w:t xml:space="preserve"> do </w:t>
            </w:r>
            <w:proofErr w:type="spellStart"/>
            <w:r w:rsidRPr="0075249D">
              <w:rPr>
                <w:rFonts w:ascii="Cambria" w:hAnsi="Cambria" w:cs="Cambria"/>
                <w:sz w:val="19"/>
                <w:szCs w:val="19"/>
              </w:rPr>
              <w:t>Pará</w:t>
            </w:r>
            <w:proofErr w:type="spellEnd"/>
            <w:r w:rsidRPr="0075249D">
              <w:rPr>
                <w:rFonts w:ascii="Cambria" w:hAnsi="Cambria" w:cs="Cambria"/>
                <w:sz w:val="19"/>
                <w:szCs w:val="19"/>
              </w:rPr>
              <w:t xml:space="preserve"> (instrument deposited on November 27, 1995)</w:t>
            </w:r>
          </w:p>
        </w:tc>
      </w:tr>
    </w:tbl>
    <w:p w:rsidR="00211832" w:rsidRPr="0075249D" w:rsidRDefault="00211832" w:rsidP="00942FFB">
      <w:pPr>
        <w:spacing w:before="240" w:after="240"/>
        <w:ind w:firstLine="720"/>
        <w:jc w:val="both"/>
        <w:rPr>
          <w:rFonts w:ascii="Cambria" w:hAnsi="Cambria" w:cs="Cambria"/>
          <w:b/>
          <w:bCs/>
          <w:sz w:val="20"/>
          <w:szCs w:val="20"/>
        </w:rPr>
      </w:pPr>
      <w:r w:rsidRPr="0075249D">
        <w:rPr>
          <w:rFonts w:ascii="Cambria" w:hAnsi="Cambria" w:cs="Cambria"/>
          <w:b/>
          <w:bCs/>
          <w:sz w:val="20"/>
          <w:szCs w:val="20"/>
        </w:rPr>
        <w:t xml:space="preserve">IV. </w:t>
      </w:r>
      <w:r w:rsidRPr="0075249D">
        <w:rPr>
          <w:rFonts w:ascii="Cambria" w:hAnsi="Cambria" w:cs="Cambria"/>
          <w:b/>
          <w:bCs/>
          <w:sz w:val="20"/>
          <w:szCs w:val="20"/>
        </w:rPr>
        <w:tab/>
        <w:t xml:space="preserve">DUPLICATION OF PROCEDURES AND INTERNATIONAL </w:t>
      </w:r>
      <w:r w:rsidRPr="0075249D">
        <w:rPr>
          <w:rFonts w:ascii="Cambria" w:hAnsi="Cambria" w:cs="Cambria"/>
          <w:b/>
          <w:bCs/>
          <w:i/>
          <w:iCs/>
          <w:sz w:val="20"/>
          <w:szCs w:val="20"/>
        </w:rPr>
        <w:t>RES JUDICATA</w:t>
      </w:r>
      <w:r w:rsidRPr="0075249D">
        <w:rPr>
          <w:rFonts w:ascii="Cambria" w:hAnsi="Cambria" w:cs="Cambria"/>
          <w:b/>
          <w:bCs/>
          <w:sz w:val="20"/>
          <w:szCs w:val="20"/>
        </w:rPr>
        <w:t>, COLORABLE CLAIM, EXHAUSTION OF DOMESTIC REMEDIES, AND TIMELINESS OF THE PETITION</w:t>
      </w:r>
    </w:p>
    <w:tbl>
      <w:tblPr>
        <w:tblW w:w="0" w:type="auto"/>
        <w:tblInd w:w="-10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3600"/>
        <w:gridCol w:w="5760"/>
      </w:tblGrid>
      <w:tr w:rsidR="00211832" w:rsidRPr="0075249D">
        <w:trPr>
          <w:cantSplit/>
        </w:trPr>
        <w:tc>
          <w:tcPr>
            <w:tcW w:w="3600" w:type="dxa"/>
            <w:tcBorders>
              <w:top w:val="single" w:sz="4" w:space="0" w:color="auto"/>
            </w:tcBorders>
            <w:shd w:val="clear" w:color="auto" w:fill="67AE3C"/>
            <w:vAlign w:val="center"/>
          </w:tcPr>
          <w:p w:rsidR="00211832" w:rsidRPr="00AF5496" w:rsidRDefault="00211832" w:rsidP="00711997">
            <w:pPr>
              <w:jc w:val="center"/>
              <w:rPr>
                <w:rFonts w:ascii="Cambria" w:hAnsi="Cambria" w:cs="Cambria"/>
                <w:b/>
                <w:bCs/>
                <w:color w:val="FFFFFF" w:themeColor="background1"/>
                <w:sz w:val="19"/>
                <w:szCs w:val="19"/>
              </w:rPr>
            </w:pPr>
            <w:r w:rsidRPr="00AF5496">
              <w:rPr>
                <w:rFonts w:ascii="Cambria" w:hAnsi="Cambria" w:cs="Cambria"/>
                <w:b/>
                <w:bCs/>
                <w:color w:val="FFFFFF" w:themeColor="background1"/>
                <w:sz w:val="19"/>
                <w:szCs w:val="19"/>
              </w:rPr>
              <w:t xml:space="preserve">Duplication of procedures and international </w:t>
            </w:r>
            <w:r w:rsidRPr="00AF5496">
              <w:rPr>
                <w:rFonts w:ascii="Cambria" w:hAnsi="Cambria" w:cs="Cambria"/>
                <w:b/>
                <w:bCs/>
                <w:i/>
                <w:iCs/>
                <w:color w:val="FFFFFF" w:themeColor="background1"/>
                <w:sz w:val="19"/>
                <w:szCs w:val="19"/>
              </w:rPr>
              <w:t>res judicata</w:t>
            </w:r>
            <w:r w:rsidRPr="00AF5496">
              <w:rPr>
                <w:rFonts w:ascii="Cambria" w:hAnsi="Cambria" w:cs="Cambria"/>
                <w:b/>
                <w:bCs/>
                <w:color w:val="FFFFFF" w:themeColor="background1"/>
                <w:sz w:val="19"/>
                <w:szCs w:val="19"/>
              </w:rPr>
              <w:t>:</w:t>
            </w:r>
          </w:p>
        </w:tc>
        <w:tc>
          <w:tcPr>
            <w:tcW w:w="5760" w:type="dxa"/>
            <w:tcBorders>
              <w:top w:val="single" w:sz="4" w:space="0" w:color="auto"/>
            </w:tcBorders>
            <w:vAlign w:val="center"/>
          </w:tcPr>
          <w:p w:rsidR="00211832" w:rsidRPr="0075249D" w:rsidRDefault="00211832" w:rsidP="00711997">
            <w:pPr>
              <w:jc w:val="both"/>
              <w:rPr>
                <w:rFonts w:ascii="Cambria" w:hAnsi="Cambria" w:cs="Cambria"/>
                <w:sz w:val="19"/>
                <w:szCs w:val="19"/>
              </w:rPr>
            </w:pPr>
            <w:r w:rsidRPr="0075249D">
              <w:rPr>
                <w:rFonts w:ascii="Cambria" w:hAnsi="Cambria" w:cs="Cambria"/>
                <w:sz w:val="19"/>
                <w:szCs w:val="19"/>
              </w:rPr>
              <w:t>No</w:t>
            </w:r>
          </w:p>
        </w:tc>
      </w:tr>
      <w:tr w:rsidR="00211832" w:rsidRPr="0075249D">
        <w:trPr>
          <w:cantSplit/>
        </w:trPr>
        <w:tc>
          <w:tcPr>
            <w:tcW w:w="3600" w:type="dxa"/>
            <w:shd w:val="clear" w:color="auto" w:fill="67AE3C"/>
            <w:vAlign w:val="center"/>
          </w:tcPr>
          <w:p w:rsidR="00211832" w:rsidRPr="00AF5496" w:rsidRDefault="00211832" w:rsidP="00711997">
            <w:pPr>
              <w:jc w:val="center"/>
              <w:rPr>
                <w:rFonts w:ascii="Cambria" w:hAnsi="Cambria" w:cs="Cambria"/>
                <w:b/>
                <w:bCs/>
                <w:i/>
                <w:iCs/>
                <w:color w:val="FFFFFF" w:themeColor="background1"/>
                <w:sz w:val="19"/>
                <w:szCs w:val="19"/>
              </w:rPr>
            </w:pPr>
            <w:r w:rsidRPr="00AF5496">
              <w:rPr>
                <w:rFonts w:ascii="Cambria" w:hAnsi="Cambria" w:cs="Cambria"/>
                <w:b/>
                <w:bCs/>
                <w:color w:val="FFFFFF" w:themeColor="background1"/>
                <w:sz w:val="19"/>
                <w:szCs w:val="19"/>
              </w:rPr>
              <w:t>Rights declared admissible:</w:t>
            </w:r>
          </w:p>
        </w:tc>
        <w:tc>
          <w:tcPr>
            <w:tcW w:w="5760" w:type="dxa"/>
            <w:vAlign w:val="center"/>
          </w:tcPr>
          <w:p w:rsidR="00211832" w:rsidRPr="0075249D" w:rsidRDefault="00211832" w:rsidP="00711997">
            <w:pPr>
              <w:jc w:val="both"/>
              <w:rPr>
                <w:rFonts w:ascii="Cambria" w:hAnsi="Cambria" w:cs="Cambria"/>
                <w:sz w:val="19"/>
                <w:szCs w:val="19"/>
              </w:rPr>
            </w:pPr>
            <w:r w:rsidRPr="0075249D">
              <w:rPr>
                <w:rFonts w:ascii="Cambria" w:hAnsi="Cambria" w:cs="Cambria"/>
                <w:sz w:val="19"/>
                <w:szCs w:val="19"/>
              </w:rPr>
              <w:t xml:space="preserve">Articles 4 (life), 5 (humane treatment), 7 (personal liberty), 8 (fair trial), 11 (privacy), and 25 (judicial protection) of the ACHR, in conjunction with Article 1.1 thereof (obligation to respect rights), and Article 7 of the Convention of </w:t>
            </w:r>
            <w:proofErr w:type="spellStart"/>
            <w:r w:rsidRPr="0075249D">
              <w:rPr>
                <w:rFonts w:ascii="Cambria" w:hAnsi="Cambria" w:cs="Cambria"/>
                <w:sz w:val="19"/>
                <w:szCs w:val="19"/>
              </w:rPr>
              <w:t>Belém</w:t>
            </w:r>
            <w:proofErr w:type="spellEnd"/>
            <w:r w:rsidRPr="0075249D">
              <w:rPr>
                <w:rFonts w:ascii="Cambria" w:hAnsi="Cambria" w:cs="Cambria"/>
                <w:sz w:val="19"/>
                <w:szCs w:val="19"/>
              </w:rPr>
              <w:t xml:space="preserve"> do </w:t>
            </w:r>
            <w:proofErr w:type="spellStart"/>
            <w:r w:rsidRPr="0075249D">
              <w:rPr>
                <w:rFonts w:ascii="Cambria" w:hAnsi="Cambria" w:cs="Cambria"/>
                <w:sz w:val="19"/>
                <w:szCs w:val="19"/>
              </w:rPr>
              <w:t>Pará</w:t>
            </w:r>
            <w:proofErr w:type="spellEnd"/>
          </w:p>
        </w:tc>
      </w:tr>
      <w:tr w:rsidR="00211832" w:rsidRPr="0075249D">
        <w:trPr>
          <w:cantSplit/>
        </w:trPr>
        <w:tc>
          <w:tcPr>
            <w:tcW w:w="3600" w:type="dxa"/>
            <w:shd w:val="clear" w:color="auto" w:fill="67AE3C"/>
            <w:vAlign w:val="center"/>
          </w:tcPr>
          <w:p w:rsidR="00211832" w:rsidRPr="00AF5496" w:rsidRDefault="00211832" w:rsidP="00711997">
            <w:pPr>
              <w:jc w:val="center"/>
              <w:rPr>
                <w:rFonts w:ascii="Cambria" w:hAnsi="Cambria" w:cs="Cambria"/>
                <w:b/>
                <w:bCs/>
                <w:color w:val="FFFFFF" w:themeColor="background1"/>
                <w:sz w:val="19"/>
                <w:szCs w:val="19"/>
              </w:rPr>
            </w:pPr>
            <w:r w:rsidRPr="00AF5496">
              <w:rPr>
                <w:rFonts w:ascii="Cambria" w:hAnsi="Cambria" w:cs="Cambria"/>
                <w:b/>
                <w:bCs/>
                <w:color w:val="FFFFFF" w:themeColor="background1"/>
                <w:sz w:val="19"/>
                <w:szCs w:val="19"/>
              </w:rPr>
              <w:t>Exhaustion of domestic remedies or applicability of an exception to the rule:</w:t>
            </w:r>
          </w:p>
        </w:tc>
        <w:tc>
          <w:tcPr>
            <w:tcW w:w="5760" w:type="dxa"/>
            <w:vAlign w:val="center"/>
          </w:tcPr>
          <w:p w:rsidR="00211832" w:rsidRPr="0075249D" w:rsidRDefault="00211832" w:rsidP="00711997">
            <w:pPr>
              <w:rPr>
                <w:rFonts w:ascii="Cambria" w:hAnsi="Cambria" w:cs="Cambria"/>
                <w:sz w:val="19"/>
                <w:szCs w:val="19"/>
              </w:rPr>
            </w:pPr>
            <w:r w:rsidRPr="0075249D">
              <w:rPr>
                <w:rFonts w:ascii="Cambria" w:hAnsi="Cambria" w:cs="Cambria"/>
                <w:sz w:val="19"/>
                <w:szCs w:val="19"/>
              </w:rPr>
              <w:t>Yes, as set out in section VI</w:t>
            </w:r>
          </w:p>
        </w:tc>
      </w:tr>
      <w:tr w:rsidR="00211832" w:rsidRPr="0075249D">
        <w:trPr>
          <w:cantSplit/>
        </w:trPr>
        <w:tc>
          <w:tcPr>
            <w:tcW w:w="3600" w:type="dxa"/>
            <w:tcBorders>
              <w:bottom w:val="single" w:sz="4" w:space="0" w:color="auto"/>
            </w:tcBorders>
            <w:shd w:val="clear" w:color="auto" w:fill="67AE3C"/>
            <w:vAlign w:val="center"/>
          </w:tcPr>
          <w:p w:rsidR="00211832" w:rsidRPr="00AF5496" w:rsidRDefault="00211832" w:rsidP="00711997">
            <w:pPr>
              <w:jc w:val="center"/>
              <w:rPr>
                <w:rFonts w:ascii="Cambria" w:hAnsi="Cambria" w:cs="Cambria"/>
                <w:b/>
                <w:bCs/>
                <w:color w:val="FFFFFF" w:themeColor="background1"/>
                <w:sz w:val="19"/>
                <w:szCs w:val="19"/>
              </w:rPr>
            </w:pPr>
            <w:r w:rsidRPr="00AF5496">
              <w:rPr>
                <w:rFonts w:ascii="Cambria" w:hAnsi="Cambria" w:cs="Cambria"/>
                <w:b/>
                <w:bCs/>
                <w:color w:val="FFFFFF" w:themeColor="background1"/>
                <w:sz w:val="19"/>
                <w:szCs w:val="19"/>
              </w:rPr>
              <w:t>Timeliness of the petition:</w:t>
            </w:r>
          </w:p>
        </w:tc>
        <w:tc>
          <w:tcPr>
            <w:tcW w:w="5760" w:type="dxa"/>
            <w:tcBorders>
              <w:bottom w:val="single" w:sz="4" w:space="0" w:color="auto"/>
            </w:tcBorders>
            <w:vAlign w:val="center"/>
          </w:tcPr>
          <w:p w:rsidR="00211832" w:rsidRPr="0075249D" w:rsidRDefault="00211832" w:rsidP="00711997">
            <w:pPr>
              <w:rPr>
                <w:rFonts w:ascii="Cambria" w:hAnsi="Cambria" w:cs="Cambria"/>
                <w:sz w:val="19"/>
                <w:szCs w:val="19"/>
              </w:rPr>
            </w:pPr>
            <w:r w:rsidRPr="0075249D">
              <w:rPr>
                <w:rFonts w:ascii="Cambria" w:hAnsi="Cambria" w:cs="Cambria"/>
                <w:sz w:val="19"/>
                <w:szCs w:val="19"/>
              </w:rPr>
              <w:t>Yes, as set out in section VI</w:t>
            </w:r>
          </w:p>
        </w:tc>
      </w:tr>
    </w:tbl>
    <w:p w:rsidR="00211832" w:rsidRPr="0075249D" w:rsidRDefault="00211832" w:rsidP="00942FFB">
      <w:pPr>
        <w:spacing w:before="240" w:after="240"/>
        <w:ind w:firstLine="720"/>
        <w:jc w:val="both"/>
        <w:rPr>
          <w:rFonts w:ascii="Cambria" w:hAnsi="Cambria" w:cs="Cambria"/>
          <w:b/>
          <w:bCs/>
          <w:sz w:val="20"/>
          <w:szCs w:val="20"/>
        </w:rPr>
      </w:pPr>
      <w:r w:rsidRPr="0075249D">
        <w:rPr>
          <w:rFonts w:ascii="Cambria" w:hAnsi="Cambria" w:cs="Cambria"/>
          <w:b/>
          <w:bCs/>
          <w:sz w:val="20"/>
          <w:szCs w:val="20"/>
        </w:rPr>
        <w:t xml:space="preserve">V. </w:t>
      </w:r>
      <w:r w:rsidRPr="0075249D">
        <w:rPr>
          <w:rFonts w:ascii="Cambria" w:hAnsi="Cambria" w:cs="Cambria"/>
          <w:b/>
          <w:bCs/>
          <w:sz w:val="20"/>
          <w:szCs w:val="20"/>
        </w:rPr>
        <w:tab/>
        <w:t>FACTS ALLEGED</w:t>
      </w:r>
      <w:r w:rsidRPr="0075249D">
        <w:rPr>
          <w:rFonts w:ascii="Cambria" w:hAnsi="Cambria" w:cs="Cambria"/>
          <w:sz w:val="20"/>
          <w:szCs w:val="20"/>
        </w:rPr>
        <w:t xml:space="preserve"> </w:t>
      </w:r>
    </w:p>
    <w:p w:rsidR="00211832" w:rsidRPr="0075249D" w:rsidRDefault="00211832" w:rsidP="00942FFB">
      <w:pPr>
        <w:numPr>
          <w:ilvl w:val="0"/>
          <w:numId w:val="51"/>
        </w:numPr>
        <w:suppressAutoHyphens/>
        <w:spacing w:after="240"/>
        <w:jc w:val="both"/>
        <w:rPr>
          <w:rFonts w:ascii="Cambria" w:hAnsi="Cambria" w:cs="Cambria"/>
          <w:sz w:val="20"/>
          <w:szCs w:val="20"/>
        </w:rPr>
      </w:pPr>
      <w:r w:rsidRPr="0075249D">
        <w:rPr>
          <w:rFonts w:ascii="Cambria" w:hAnsi="Cambria" w:cs="Cambria"/>
          <w:sz w:val="20"/>
          <w:szCs w:val="20"/>
        </w:rPr>
        <w:t xml:space="preserve">The petitioner contends that the Brazilian State is responsible for violating the rights to life, to a fair trial, and to judicial protection of </w:t>
      </w:r>
      <w:proofErr w:type="spellStart"/>
      <w:r w:rsidRPr="0075249D">
        <w:rPr>
          <w:rFonts w:ascii="Cambria" w:hAnsi="Cambria" w:cs="Cambria"/>
          <w:sz w:val="20"/>
          <w:szCs w:val="20"/>
        </w:rPr>
        <w:t>Margareth</w:t>
      </w:r>
      <w:proofErr w:type="spellEnd"/>
      <w:r w:rsidRPr="0075249D">
        <w:rPr>
          <w:rFonts w:ascii="Cambria" w:hAnsi="Cambria" w:cs="Cambria"/>
          <w:sz w:val="20"/>
          <w:szCs w:val="20"/>
        </w:rPr>
        <w:t xml:space="preserve"> </w:t>
      </w:r>
      <w:proofErr w:type="spellStart"/>
      <w:r w:rsidRPr="0075249D">
        <w:rPr>
          <w:rFonts w:ascii="Cambria" w:hAnsi="Cambria" w:cs="Cambria"/>
          <w:sz w:val="20"/>
          <w:szCs w:val="20"/>
        </w:rPr>
        <w:t>Figueiredo</w:t>
      </w:r>
      <w:proofErr w:type="spellEnd"/>
      <w:r w:rsidRPr="0075249D">
        <w:rPr>
          <w:rFonts w:ascii="Cambria" w:hAnsi="Cambria" w:cs="Cambria"/>
          <w:sz w:val="20"/>
          <w:szCs w:val="20"/>
        </w:rPr>
        <w:t xml:space="preserve"> Alves (hereinafter, “the alleged victim”), in that </w:t>
      </w:r>
      <w:r w:rsidRPr="0075249D">
        <w:rPr>
          <w:rFonts w:ascii="Cambria" w:hAnsi="Cambria" w:cs="Cambria"/>
          <w:sz w:val="20"/>
          <w:szCs w:val="20"/>
        </w:rPr>
        <w:lastRenderedPageBreak/>
        <w:t xml:space="preserve">it failed to act on her accusations of domestic violence, which culminated in an attempt on her life at the hands of her former husband, an agent of the State. The petitioner further contends that the Brazilian State was negligent in investigating the facts and that there has been a delay in issuing the final judgment in the case, giving rise to impunity. </w:t>
      </w:r>
    </w:p>
    <w:p w:rsidR="00211832" w:rsidRPr="0075249D" w:rsidRDefault="00211832" w:rsidP="00942FFB">
      <w:pPr>
        <w:numPr>
          <w:ilvl w:val="0"/>
          <w:numId w:val="51"/>
        </w:numPr>
        <w:suppressAutoHyphens/>
        <w:spacing w:after="240"/>
        <w:jc w:val="both"/>
        <w:rPr>
          <w:rFonts w:ascii="Cambria" w:hAnsi="Cambria" w:cs="Cambria"/>
          <w:sz w:val="20"/>
          <w:szCs w:val="20"/>
        </w:rPr>
      </w:pPr>
      <w:r w:rsidRPr="0075249D">
        <w:rPr>
          <w:rFonts w:ascii="Cambria" w:hAnsi="Cambria" w:cs="Cambria"/>
          <w:sz w:val="20"/>
          <w:szCs w:val="20"/>
        </w:rPr>
        <w:t xml:space="preserve">The petitioner claims that the alleged victim received threats from her former husband, Mr. </w:t>
      </w:r>
      <w:proofErr w:type="spellStart"/>
      <w:r w:rsidRPr="0075249D">
        <w:rPr>
          <w:rFonts w:ascii="Cambria" w:hAnsi="Cambria" w:cs="Cambria"/>
          <w:sz w:val="20"/>
          <w:szCs w:val="20"/>
        </w:rPr>
        <w:t>Aluizio</w:t>
      </w:r>
      <w:proofErr w:type="spellEnd"/>
      <w:r w:rsidRPr="0075249D">
        <w:rPr>
          <w:rFonts w:ascii="Cambria" w:hAnsi="Cambria" w:cs="Cambria"/>
          <w:sz w:val="20"/>
          <w:szCs w:val="20"/>
        </w:rPr>
        <w:t xml:space="preserve"> de </w:t>
      </w:r>
      <w:proofErr w:type="spellStart"/>
      <w:r w:rsidRPr="0075249D">
        <w:rPr>
          <w:rFonts w:ascii="Cambria" w:hAnsi="Cambria" w:cs="Cambria"/>
          <w:sz w:val="20"/>
          <w:szCs w:val="20"/>
        </w:rPr>
        <w:t>Araújo</w:t>
      </w:r>
      <w:proofErr w:type="spellEnd"/>
      <w:r w:rsidRPr="0075249D">
        <w:rPr>
          <w:rFonts w:ascii="Cambria" w:hAnsi="Cambria" w:cs="Cambria"/>
          <w:sz w:val="20"/>
          <w:szCs w:val="20"/>
        </w:rPr>
        <w:t xml:space="preserve"> Couto (hereinafter, “Mr. Couto” or “</w:t>
      </w:r>
      <w:proofErr w:type="spellStart"/>
      <w:r w:rsidRPr="0075249D">
        <w:rPr>
          <w:rFonts w:ascii="Cambria" w:hAnsi="Cambria" w:cs="Cambria"/>
          <w:sz w:val="20"/>
          <w:szCs w:val="20"/>
        </w:rPr>
        <w:t>Aluizio</w:t>
      </w:r>
      <w:proofErr w:type="spellEnd"/>
      <w:r w:rsidRPr="0075249D">
        <w:rPr>
          <w:rFonts w:ascii="Cambria" w:hAnsi="Cambria" w:cs="Cambria"/>
          <w:sz w:val="20"/>
          <w:szCs w:val="20"/>
        </w:rPr>
        <w:t xml:space="preserve">”), the Regional Delegate of the Civilian Police in the city of </w:t>
      </w:r>
      <w:proofErr w:type="spellStart"/>
      <w:r w:rsidRPr="0075249D">
        <w:rPr>
          <w:rFonts w:ascii="Cambria" w:hAnsi="Cambria" w:cs="Cambria"/>
          <w:sz w:val="20"/>
          <w:szCs w:val="20"/>
        </w:rPr>
        <w:t>Uberlândia</w:t>
      </w:r>
      <w:proofErr w:type="spellEnd"/>
      <w:r w:rsidRPr="0075249D">
        <w:rPr>
          <w:rFonts w:ascii="Cambria" w:hAnsi="Cambria" w:cs="Cambria"/>
          <w:sz w:val="20"/>
          <w:szCs w:val="20"/>
        </w:rPr>
        <w:t xml:space="preserve">, Minas </w:t>
      </w:r>
      <w:proofErr w:type="spellStart"/>
      <w:r w:rsidRPr="0075249D">
        <w:rPr>
          <w:rFonts w:ascii="Cambria" w:hAnsi="Cambria" w:cs="Cambria"/>
          <w:sz w:val="20"/>
          <w:szCs w:val="20"/>
        </w:rPr>
        <w:t>Gerais</w:t>
      </w:r>
      <w:proofErr w:type="spellEnd"/>
      <w:r w:rsidRPr="0075249D">
        <w:rPr>
          <w:rFonts w:ascii="Cambria" w:hAnsi="Cambria" w:cs="Cambria"/>
          <w:sz w:val="20"/>
          <w:szCs w:val="20"/>
        </w:rPr>
        <w:t xml:space="preserve">, and that she lodged countless complaints with the authorities with no formalities being pursued until November 11, 2000, when he attempted to kill her. The petitioner claims that while the alleged victim was hospitalized, Mr. Ramon </w:t>
      </w:r>
      <w:proofErr w:type="spellStart"/>
      <w:r w:rsidRPr="0075249D">
        <w:rPr>
          <w:rFonts w:ascii="Cambria" w:hAnsi="Cambria" w:cs="Cambria"/>
          <w:sz w:val="20"/>
          <w:szCs w:val="20"/>
        </w:rPr>
        <w:t>Tadeu</w:t>
      </w:r>
      <w:proofErr w:type="spellEnd"/>
      <w:r w:rsidRPr="0075249D">
        <w:rPr>
          <w:rFonts w:ascii="Cambria" w:hAnsi="Cambria" w:cs="Cambria"/>
          <w:sz w:val="20"/>
          <w:szCs w:val="20"/>
        </w:rPr>
        <w:t xml:space="preserve"> Carvalho </w:t>
      </w:r>
      <w:proofErr w:type="spellStart"/>
      <w:r w:rsidRPr="0075249D">
        <w:rPr>
          <w:rFonts w:ascii="Cambria" w:hAnsi="Cambria" w:cs="Cambria"/>
          <w:sz w:val="20"/>
          <w:szCs w:val="20"/>
        </w:rPr>
        <w:t>Bucci</w:t>
      </w:r>
      <w:proofErr w:type="spellEnd"/>
      <w:r w:rsidRPr="0075249D">
        <w:rPr>
          <w:rFonts w:ascii="Cambria" w:hAnsi="Cambria" w:cs="Cambria"/>
          <w:sz w:val="20"/>
          <w:szCs w:val="20"/>
        </w:rPr>
        <w:t xml:space="preserve">, the Deputy Delegate and a friend of </w:t>
      </w:r>
      <w:proofErr w:type="spellStart"/>
      <w:r w:rsidRPr="0075249D">
        <w:rPr>
          <w:rFonts w:ascii="Cambria" w:hAnsi="Cambria" w:cs="Cambria"/>
          <w:sz w:val="20"/>
          <w:szCs w:val="20"/>
        </w:rPr>
        <w:t>Aluizio’s</w:t>
      </w:r>
      <w:proofErr w:type="spellEnd"/>
      <w:r w:rsidRPr="0075249D">
        <w:rPr>
          <w:rFonts w:ascii="Cambria" w:hAnsi="Cambria" w:cs="Cambria"/>
          <w:sz w:val="20"/>
          <w:szCs w:val="20"/>
        </w:rPr>
        <w:t>, (hereinafter, “Mr. Bucci” or “</w:t>
      </w:r>
      <w:r w:rsidR="00911E46" w:rsidRPr="0075249D">
        <w:rPr>
          <w:rFonts w:ascii="Cambria" w:hAnsi="Cambria" w:cs="Cambria"/>
          <w:sz w:val="20"/>
          <w:szCs w:val="20"/>
        </w:rPr>
        <w:t>Deputy Delegate</w:t>
      </w:r>
      <w:r w:rsidRPr="0075249D">
        <w:rPr>
          <w:rFonts w:ascii="Cambria" w:hAnsi="Cambria" w:cs="Cambria"/>
          <w:sz w:val="20"/>
          <w:szCs w:val="20"/>
        </w:rPr>
        <w:t xml:space="preserve"> Ramon”) went to visit her and informed her that he was about to contact the Military Police so that the incident report could be prepared; that never happened, however, since in conjunction with him and with police officer Orlando Gomes de Souza (hereinafter, “Mr. Souza”), </w:t>
      </w:r>
      <w:proofErr w:type="spellStart"/>
      <w:r w:rsidRPr="0075249D">
        <w:rPr>
          <w:rFonts w:ascii="Cambria" w:hAnsi="Cambria" w:cs="Cambria"/>
          <w:sz w:val="20"/>
          <w:szCs w:val="20"/>
        </w:rPr>
        <w:t>Aluizio</w:t>
      </w:r>
      <w:proofErr w:type="spellEnd"/>
      <w:r w:rsidRPr="0075249D">
        <w:rPr>
          <w:rFonts w:ascii="Cambria" w:hAnsi="Cambria" w:cs="Cambria"/>
          <w:sz w:val="20"/>
          <w:szCs w:val="20"/>
        </w:rPr>
        <w:t xml:space="preserve"> prevented the opening of the police investigation. </w:t>
      </w:r>
    </w:p>
    <w:p w:rsidR="00211832" w:rsidRPr="0075249D" w:rsidRDefault="00211832" w:rsidP="00942FFB">
      <w:pPr>
        <w:numPr>
          <w:ilvl w:val="0"/>
          <w:numId w:val="51"/>
        </w:numPr>
        <w:suppressAutoHyphens/>
        <w:spacing w:after="240"/>
        <w:jc w:val="both"/>
        <w:rPr>
          <w:rFonts w:ascii="Cambria" w:hAnsi="Cambria" w:cs="Cambria"/>
          <w:sz w:val="20"/>
          <w:szCs w:val="20"/>
        </w:rPr>
      </w:pPr>
      <w:r w:rsidRPr="0075249D">
        <w:rPr>
          <w:rFonts w:ascii="Cambria" w:hAnsi="Cambria" w:cs="Cambria"/>
          <w:sz w:val="20"/>
          <w:szCs w:val="20"/>
        </w:rPr>
        <w:t xml:space="preserve">According to the petitioner, the alleged victim reported the threats made against her to the public prosecution service (hereinafter, “MP”) on at least three occasions, requesting that Mr. Couto be placed in protective custody; that never took place, however, because although the MP requested </w:t>
      </w:r>
      <w:proofErr w:type="spellStart"/>
      <w:r w:rsidRPr="0075249D">
        <w:rPr>
          <w:rFonts w:ascii="Cambria" w:hAnsi="Cambria" w:cs="Cambria"/>
          <w:sz w:val="20"/>
          <w:szCs w:val="20"/>
        </w:rPr>
        <w:t>Aluizio’s</w:t>
      </w:r>
      <w:proofErr w:type="spellEnd"/>
      <w:r w:rsidRPr="0075249D">
        <w:rPr>
          <w:rFonts w:ascii="Cambria" w:hAnsi="Cambria" w:cs="Cambria"/>
          <w:sz w:val="20"/>
          <w:szCs w:val="20"/>
        </w:rPr>
        <w:t xml:space="preserve"> arrest, the judge declined to issue a warrant. She claims that in 2003, the MP lodged a complaint against </w:t>
      </w:r>
      <w:proofErr w:type="spellStart"/>
      <w:r w:rsidRPr="0075249D">
        <w:rPr>
          <w:rFonts w:ascii="Cambria" w:hAnsi="Cambria" w:cs="Cambria"/>
          <w:sz w:val="20"/>
          <w:szCs w:val="20"/>
        </w:rPr>
        <w:t>Aluizio</w:t>
      </w:r>
      <w:proofErr w:type="spellEnd"/>
      <w:r w:rsidRPr="0075249D">
        <w:rPr>
          <w:rFonts w:ascii="Cambria" w:hAnsi="Cambria" w:cs="Cambria"/>
          <w:sz w:val="20"/>
          <w:szCs w:val="20"/>
        </w:rPr>
        <w:t xml:space="preserve"> when it learned of the attempted murder in the case file of a suit brought to overturn the purported sale of the couple’s home, since </w:t>
      </w:r>
      <w:r w:rsidR="00911E46" w:rsidRPr="0075249D">
        <w:rPr>
          <w:rFonts w:ascii="Cambria" w:hAnsi="Cambria" w:cs="Cambria"/>
          <w:sz w:val="20"/>
          <w:szCs w:val="20"/>
        </w:rPr>
        <w:t>Deputy Delegate</w:t>
      </w:r>
      <w:r w:rsidRPr="0075249D">
        <w:rPr>
          <w:rFonts w:ascii="Cambria" w:hAnsi="Cambria" w:cs="Cambria"/>
          <w:sz w:val="20"/>
          <w:szCs w:val="20"/>
        </w:rPr>
        <w:t xml:space="preserve"> Ramon had not prepared the police report. Thus, it was only after the second attempted murder that </w:t>
      </w:r>
      <w:proofErr w:type="spellStart"/>
      <w:r w:rsidRPr="0075249D">
        <w:rPr>
          <w:rFonts w:ascii="Cambria" w:hAnsi="Cambria" w:cs="Cambria"/>
          <w:sz w:val="20"/>
          <w:szCs w:val="20"/>
        </w:rPr>
        <w:t>Aluizio’s</w:t>
      </w:r>
      <w:proofErr w:type="spellEnd"/>
      <w:r w:rsidRPr="0075249D">
        <w:rPr>
          <w:rFonts w:ascii="Cambria" w:hAnsi="Cambria" w:cs="Cambria"/>
          <w:sz w:val="20"/>
          <w:szCs w:val="20"/>
        </w:rPr>
        <w:t xml:space="preserve"> arrest was ordered, he was a fugitive from justice for more than a year, and the alleged victim was placed under police protection for a period of 24 hours. The petitioner alleges that following that time, she lodged complaints regarding the case with all Brazil’s human rights and law enforcement agencies, as well as with the Ministry of Justice. According to her claims, the criminal proceedings brought against Mr. Couto are on hold, after he filed a motion alleging mental instability. The petitioner contends that on account of the position held by Mr. Couto—as the Regional Delegate of the Civilian Police in the city of </w:t>
      </w:r>
      <w:proofErr w:type="spellStart"/>
      <w:r w:rsidRPr="0075249D">
        <w:rPr>
          <w:rFonts w:ascii="Cambria" w:hAnsi="Cambria" w:cs="Cambria"/>
          <w:sz w:val="20"/>
          <w:szCs w:val="20"/>
        </w:rPr>
        <w:t>Uberlândia</w:t>
      </w:r>
      <w:proofErr w:type="spellEnd"/>
      <w:r w:rsidRPr="0075249D">
        <w:rPr>
          <w:rFonts w:ascii="Cambria" w:hAnsi="Cambria" w:cs="Cambria"/>
          <w:sz w:val="20"/>
          <w:szCs w:val="20"/>
        </w:rPr>
        <w:t xml:space="preserve">, Minas </w:t>
      </w:r>
      <w:proofErr w:type="spellStart"/>
      <w:r w:rsidRPr="0075249D">
        <w:rPr>
          <w:rFonts w:ascii="Cambria" w:hAnsi="Cambria" w:cs="Cambria"/>
          <w:sz w:val="20"/>
          <w:szCs w:val="20"/>
        </w:rPr>
        <w:t>Gerais</w:t>
      </w:r>
      <w:proofErr w:type="spellEnd"/>
      <w:r w:rsidRPr="0075249D">
        <w:rPr>
          <w:rFonts w:ascii="Cambria" w:hAnsi="Cambria" w:cs="Cambria"/>
          <w:sz w:val="20"/>
          <w:szCs w:val="20"/>
        </w:rPr>
        <w:t>—her reports were blocked and his subordinates began a defamation campaign against the alleged victim.</w:t>
      </w:r>
    </w:p>
    <w:p w:rsidR="00211832" w:rsidRPr="0075249D" w:rsidRDefault="00211832" w:rsidP="00942FFB">
      <w:pPr>
        <w:numPr>
          <w:ilvl w:val="0"/>
          <w:numId w:val="51"/>
        </w:numPr>
        <w:suppressAutoHyphens/>
        <w:spacing w:after="240"/>
        <w:jc w:val="both"/>
        <w:rPr>
          <w:rFonts w:ascii="Cambria" w:hAnsi="Cambria" w:cs="Cambria"/>
          <w:sz w:val="20"/>
          <w:szCs w:val="20"/>
        </w:rPr>
      </w:pPr>
      <w:r w:rsidRPr="0075249D">
        <w:rPr>
          <w:rFonts w:ascii="Cambria" w:hAnsi="Cambria" w:cs="Cambria"/>
          <w:sz w:val="20"/>
          <w:szCs w:val="20"/>
        </w:rPr>
        <w:t xml:space="preserve">In turn, the State contends that the Commission lacks competence </w:t>
      </w:r>
      <w:proofErr w:type="spellStart"/>
      <w:r w:rsidRPr="0075249D">
        <w:rPr>
          <w:rFonts w:ascii="Cambria" w:hAnsi="Cambria" w:cs="Cambria"/>
          <w:i/>
          <w:iCs/>
          <w:sz w:val="20"/>
          <w:szCs w:val="20"/>
        </w:rPr>
        <w:t>ratione</w:t>
      </w:r>
      <w:proofErr w:type="spellEnd"/>
      <w:r w:rsidRPr="0075249D">
        <w:rPr>
          <w:rFonts w:ascii="Cambria" w:hAnsi="Cambria" w:cs="Cambria"/>
          <w:i/>
          <w:iCs/>
          <w:sz w:val="20"/>
          <w:szCs w:val="20"/>
        </w:rPr>
        <w:t xml:space="preserve"> </w:t>
      </w:r>
      <w:proofErr w:type="spellStart"/>
      <w:r w:rsidRPr="0075249D">
        <w:rPr>
          <w:rFonts w:ascii="Cambria" w:hAnsi="Cambria" w:cs="Cambria"/>
          <w:i/>
          <w:iCs/>
          <w:sz w:val="20"/>
          <w:szCs w:val="20"/>
        </w:rPr>
        <w:t>materiae</w:t>
      </w:r>
      <w:proofErr w:type="spellEnd"/>
      <w:r w:rsidRPr="0075249D">
        <w:rPr>
          <w:rFonts w:ascii="Cambria" w:hAnsi="Cambria" w:cs="Cambria"/>
          <w:sz w:val="20"/>
          <w:szCs w:val="20"/>
        </w:rPr>
        <w:t xml:space="preserve"> to analyze Articles 1, 3, 4, 5, and 6 of the Convention of </w:t>
      </w:r>
      <w:proofErr w:type="spellStart"/>
      <w:r w:rsidRPr="0075249D">
        <w:rPr>
          <w:rFonts w:ascii="Cambria" w:hAnsi="Cambria" w:cs="Cambria"/>
          <w:sz w:val="20"/>
          <w:szCs w:val="20"/>
        </w:rPr>
        <w:t>Belém</w:t>
      </w:r>
      <w:proofErr w:type="spellEnd"/>
      <w:r w:rsidRPr="0075249D">
        <w:rPr>
          <w:rFonts w:ascii="Cambria" w:hAnsi="Cambria" w:cs="Cambria"/>
          <w:sz w:val="20"/>
          <w:szCs w:val="20"/>
        </w:rPr>
        <w:t xml:space="preserve"> do </w:t>
      </w:r>
      <w:proofErr w:type="spellStart"/>
      <w:r w:rsidRPr="0075249D">
        <w:rPr>
          <w:rFonts w:ascii="Cambria" w:hAnsi="Cambria" w:cs="Cambria"/>
          <w:sz w:val="20"/>
          <w:szCs w:val="20"/>
        </w:rPr>
        <w:t>Pará</w:t>
      </w:r>
      <w:proofErr w:type="spellEnd"/>
      <w:r w:rsidRPr="0075249D">
        <w:rPr>
          <w:rFonts w:ascii="Cambria" w:hAnsi="Cambria" w:cs="Cambria"/>
          <w:sz w:val="20"/>
          <w:szCs w:val="20"/>
        </w:rPr>
        <w:t xml:space="preserve"> and can only examine a possible violation of Article 7 of that instrument. It notes that two criminal suits were brought against Mr. Couto: public criminal action No. 1.0702.03.082263-0/002 of 2003, against Mr. Couto for the crime of attempted murder, and against Mr. Bucci and Mr. Souza, for the crime of malfeasance. In those proceedings, </w:t>
      </w:r>
      <w:proofErr w:type="spellStart"/>
      <w:r w:rsidRPr="0075249D">
        <w:rPr>
          <w:rFonts w:ascii="Cambria" w:hAnsi="Cambria" w:cs="Cambria"/>
          <w:sz w:val="20"/>
          <w:szCs w:val="20"/>
        </w:rPr>
        <w:t>Aluizio</w:t>
      </w:r>
      <w:proofErr w:type="spellEnd"/>
      <w:r w:rsidRPr="0075249D">
        <w:rPr>
          <w:rFonts w:ascii="Cambria" w:hAnsi="Cambria" w:cs="Cambria"/>
          <w:sz w:val="20"/>
          <w:szCs w:val="20"/>
        </w:rPr>
        <w:t xml:space="preserve"> was found guilty and lodged a strict appeal against the judgment, which was ruled inadmissible by the Court of Justice of Minas Gerais (hereinafter, “TJMG”); subsequently, he filed a motion for mental instability that suspended further progress with the proceedings. In addition, another suit was lodged in 2007, on account of the second attack on the alleged victim, in which the MP again accused Mr. Couto of attempted murder. </w:t>
      </w:r>
    </w:p>
    <w:p w:rsidR="00211832" w:rsidRPr="0075249D" w:rsidRDefault="00211832" w:rsidP="00942FFB">
      <w:pPr>
        <w:spacing w:before="240" w:after="240"/>
        <w:ind w:firstLine="720"/>
        <w:jc w:val="both"/>
        <w:rPr>
          <w:rFonts w:ascii="Cambria" w:hAnsi="Cambria" w:cs="Cambria"/>
          <w:b/>
          <w:bCs/>
          <w:sz w:val="20"/>
          <w:szCs w:val="20"/>
        </w:rPr>
      </w:pPr>
      <w:r w:rsidRPr="0075249D">
        <w:rPr>
          <w:rFonts w:ascii="Cambria" w:hAnsi="Cambria" w:cs="Cambria"/>
          <w:b/>
          <w:bCs/>
          <w:sz w:val="20"/>
          <w:szCs w:val="20"/>
        </w:rPr>
        <w:t>VI.</w:t>
      </w:r>
      <w:r w:rsidRPr="0075249D">
        <w:rPr>
          <w:rFonts w:ascii="Cambria" w:hAnsi="Cambria" w:cs="Cambria"/>
          <w:b/>
          <w:bCs/>
          <w:sz w:val="20"/>
          <w:szCs w:val="20"/>
        </w:rPr>
        <w:tab/>
        <w:t>ANALYSIS OF EXHAUSTION OF DOMESTIC REMEDIES AND TIMELINESS OF THE PETITION</w:t>
      </w:r>
      <w:r w:rsidRPr="0075249D">
        <w:rPr>
          <w:rFonts w:ascii="Cambria" w:hAnsi="Cambria" w:cs="Cambria"/>
          <w:sz w:val="20"/>
          <w:szCs w:val="20"/>
        </w:rPr>
        <w:t xml:space="preserve"> </w:t>
      </w:r>
    </w:p>
    <w:p w:rsidR="00211832" w:rsidRPr="0075249D" w:rsidRDefault="00211832" w:rsidP="00942FFB">
      <w:pPr>
        <w:numPr>
          <w:ilvl w:val="0"/>
          <w:numId w:val="51"/>
        </w:numPr>
        <w:suppressAutoHyphens/>
        <w:spacing w:after="240"/>
        <w:jc w:val="both"/>
        <w:rPr>
          <w:rFonts w:ascii="Cambria" w:hAnsi="Cambria" w:cs="Cambria"/>
          <w:sz w:val="20"/>
          <w:szCs w:val="20"/>
        </w:rPr>
      </w:pPr>
      <w:r w:rsidRPr="0075249D">
        <w:rPr>
          <w:rFonts w:ascii="Cambria" w:hAnsi="Cambria" w:cs="Cambria"/>
          <w:sz w:val="20"/>
          <w:szCs w:val="20"/>
        </w:rPr>
        <w:t>The petitioner claims that the petition triggers an exception to the exhaustion of domestic remedies requirement on account of the unwarranted delay in issuing final judgment in the case, in that the incidents occurred more than eighteen years ago and, to date, no final judgment has been handed down. The State contends that domestic remedies have not been exhausted and that Brazilian law affords the alleged victim several procedural mechanisms that are suitable and effective for protecting the violated right. It claims that the decision on the special appeal lodged by Mr. Couto in the criminal proceedings for the 2003 attack remains pending. It contends that there is no evidence of the petitioner having sought civil restitution through the domestic courts and that neither the Public Defense Office nor the Ombudsperson for the Civilian Police and the Judiciary were contacted by the alleged victim. According to the State, the investigations and criminal proceedings carried out were effective, and the time taken to process them was justified by the number of remedies lodged by Mr. Couto.</w:t>
      </w:r>
    </w:p>
    <w:p w:rsidR="00211832" w:rsidRPr="0075249D" w:rsidRDefault="00211832" w:rsidP="00942FFB">
      <w:pPr>
        <w:numPr>
          <w:ilvl w:val="0"/>
          <w:numId w:val="51"/>
        </w:numPr>
        <w:suppressAutoHyphens/>
        <w:spacing w:after="240"/>
        <w:jc w:val="both"/>
        <w:rPr>
          <w:rFonts w:ascii="Cambria" w:hAnsi="Cambria" w:cs="Cambria"/>
          <w:sz w:val="20"/>
          <w:szCs w:val="20"/>
        </w:rPr>
      </w:pPr>
      <w:r w:rsidRPr="0075249D">
        <w:rPr>
          <w:rFonts w:ascii="Cambria" w:hAnsi="Cambria" w:cs="Cambria"/>
          <w:sz w:val="20"/>
          <w:szCs w:val="20"/>
        </w:rPr>
        <w:lastRenderedPageBreak/>
        <w:t>The Commission notes that in the case at hand, three persons were reportedly involved in the attempted murder of the alleged victim and in the failure to conduct an investigation and that because of the positions all three held in the Civilian Police, it took more than three years for the public prosecution service to be made aware of the incident. Thus, according to the available information, the Commission notes that between 2000 and 2003, Messrs. Couto, Bucci, and Souza used their positions as agents of the State to prevent any investigation into the violence suffered by the alleged victim. Moreover, the IACHR also notes that although the MP lodged a complaint against Mr. Couto, the alleged victim’s assailant, and against two other state agents in 2003, the case could not be resolved until 2015 since the special appeal lodged by Mr. Couto in 2011 meant the dismissal of the proceedings. In addition, according to public information available on the TJMG website,</w:t>
      </w:r>
      <w:r w:rsidRPr="0075249D">
        <w:rPr>
          <w:rStyle w:val="FootnoteReference"/>
          <w:rFonts w:ascii="Cambria" w:hAnsi="Cambria" w:cs="Cambria"/>
          <w:sz w:val="20"/>
          <w:szCs w:val="20"/>
        </w:rPr>
        <w:footnoteReference w:id="7"/>
      </w:r>
      <w:r w:rsidRPr="0075249D">
        <w:rPr>
          <w:rFonts w:ascii="Cambria" w:hAnsi="Cambria" w:cs="Cambria"/>
          <w:sz w:val="20"/>
          <w:szCs w:val="20"/>
        </w:rPr>
        <w:t xml:space="preserve"> the Commission notes that as of June 5, 2019, the jury court had not yet convened, indicating that 19 years after the incident, no decision had yet been adopted in the case. Furthermore, the TJMG website states that on June 17, 2019, the proceedings were again suspended under a motion for mental instability lodged by Mr. Couto, with which the alleged victim has been unable to obtain any result since 2000. Consequently, the IACHR concludes that the exception to the exhaustion of domestic remedies rule is applicable, in keeping with the terms of Article 46.2.c of the American Convention.</w:t>
      </w:r>
      <w:r w:rsidRPr="0075249D">
        <w:rPr>
          <w:rFonts w:ascii="Cambria" w:hAnsi="Cambria" w:cs="Cambria"/>
          <w:sz w:val="20"/>
          <w:szCs w:val="20"/>
          <w:vertAlign w:val="superscript"/>
        </w:rPr>
        <w:footnoteReference w:id="8"/>
      </w:r>
    </w:p>
    <w:p w:rsidR="00211832" w:rsidRPr="0075249D" w:rsidRDefault="00211832" w:rsidP="00942FFB">
      <w:pPr>
        <w:numPr>
          <w:ilvl w:val="0"/>
          <w:numId w:val="51"/>
        </w:numPr>
        <w:suppressAutoHyphens/>
        <w:spacing w:after="240"/>
        <w:jc w:val="both"/>
        <w:rPr>
          <w:rFonts w:ascii="Cambria" w:hAnsi="Cambria" w:cs="Cambria"/>
          <w:sz w:val="20"/>
          <w:szCs w:val="20"/>
        </w:rPr>
      </w:pPr>
      <w:r w:rsidRPr="0075249D">
        <w:rPr>
          <w:rFonts w:ascii="Cambria" w:hAnsi="Cambria" w:cs="Cambria"/>
          <w:sz w:val="20"/>
          <w:szCs w:val="20"/>
        </w:rPr>
        <w:t>In connection with the State’s argument regarding the need to wait for a decision to be reached on the special appeal, the Commission points out that it has held that while such remedies may be suitable for dealing with human rights violations in certain cases, the general rule is that the only remedies that require exhaustion are those with functions, within the legal system, suitable for providing protection that can repair the violation of a given right. In principle, that function is served by regular remedies and not special ones.</w:t>
      </w:r>
      <w:r w:rsidRPr="0075249D">
        <w:rPr>
          <w:rFonts w:ascii="Cambria" w:hAnsi="Cambria" w:cs="Cambria"/>
          <w:sz w:val="20"/>
          <w:szCs w:val="20"/>
          <w:vertAlign w:val="superscript"/>
        </w:rPr>
        <w:footnoteReference w:id="9"/>
      </w:r>
      <w:r w:rsidRPr="0075249D">
        <w:rPr>
          <w:rFonts w:ascii="Cambria" w:hAnsi="Cambria" w:cs="Cambria"/>
          <w:sz w:val="20"/>
          <w:szCs w:val="20"/>
        </w:rPr>
        <w:t xml:space="preserve"> In the case at hand, the IACHR believes that the special appeal did not require exhaustion. Under the Brazilian legal system, the special appeal provided for in Article 102, section III, of the Federal Constitution and in Articles 637 and 638 of the Code of Criminal Procedure is not the correct remedy for upholding the alleged victim’s rights, in that it is intended to challenge the constitutionality of lower-order provisions, to recognize the validity of a law or action of a local government, or to rule on the validity of a local law that contradicts a federal law. As the State claims, this remedy was filed by the alleged victim’s assailant to challenge the TJMG’s ruling on the public prosecution service’s investigative competence, and not as a remedy intended to safeguard the alleged victim’s rights.</w:t>
      </w:r>
    </w:p>
    <w:p w:rsidR="00211832" w:rsidRPr="0075249D" w:rsidRDefault="00211832" w:rsidP="00942FFB">
      <w:pPr>
        <w:numPr>
          <w:ilvl w:val="0"/>
          <w:numId w:val="51"/>
        </w:numPr>
        <w:suppressAutoHyphens/>
        <w:spacing w:after="240"/>
        <w:jc w:val="both"/>
        <w:rPr>
          <w:rFonts w:ascii="Cambria" w:hAnsi="Cambria" w:cs="Cambria"/>
          <w:sz w:val="20"/>
          <w:szCs w:val="20"/>
        </w:rPr>
      </w:pPr>
      <w:r w:rsidRPr="0075249D">
        <w:rPr>
          <w:rFonts w:ascii="Cambria" w:hAnsi="Cambria" w:cs="Cambria"/>
          <w:sz w:val="20"/>
          <w:szCs w:val="20"/>
        </w:rPr>
        <w:t>Furthermore, the Commission notes that in situations that involve crimes against life and personal integrity, such as the one described in this petition, the domestic remedies that must be considered in ruling on a petition’s admissibility are those related to the criminal investigation and the punishment of the guilty.</w:t>
      </w:r>
      <w:r w:rsidRPr="0075249D">
        <w:rPr>
          <w:sz w:val="20"/>
          <w:szCs w:val="20"/>
          <w:vertAlign w:val="superscript"/>
        </w:rPr>
        <w:footnoteReference w:id="10"/>
      </w:r>
      <w:r w:rsidRPr="0075249D">
        <w:rPr>
          <w:sz w:val="20"/>
          <w:szCs w:val="20"/>
        </w:rPr>
        <w:t xml:space="preserve"> Thus, </w:t>
      </w:r>
      <w:r w:rsidRPr="0075249D">
        <w:rPr>
          <w:rFonts w:ascii="Cambria" w:hAnsi="Cambria" w:cs="Cambria"/>
          <w:sz w:val="20"/>
          <w:szCs w:val="20"/>
        </w:rPr>
        <w:t>as regards the alleged need to exhaust the domestic remedies for civil redress in cases of serious human rights violations, alleged victims do not need to involve civil venues in pursuit of redress before involving the Inter-American system, since remedies of that kind do not respond to the core issues of the petition.</w:t>
      </w:r>
      <w:r w:rsidRPr="0075249D">
        <w:rPr>
          <w:rFonts w:ascii="Cambria" w:hAnsi="Cambria" w:cs="Cambria"/>
          <w:sz w:val="20"/>
          <w:szCs w:val="20"/>
          <w:vertAlign w:val="superscript"/>
        </w:rPr>
        <w:footnoteReference w:id="11"/>
      </w:r>
    </w:p>
    <w:p w:rsidR="00211832" w:rsidRPr="0075249D" w:rsidRDefault="00211832" w:rsidP="00942FFB">
      <w:pPr>
        <w:pStyle w:val="ListParagraph"/>
        <w:numPr>
          <w:ilvl w:val="0"/>
          <w:numId w:val="51"/>
        </w:numPr>
        <w:ind w:left="0"/>
        <w:jc w:val="both"/>
        <w:rPr>
          <w:color w:val="auto"/>
          <w:sz w:val="20"/>
          <w:szCs w:val="20"/>
        </w:rPr>
      </w:pPr>
      <w:r w:rsidRPr="0075249D">
        <w:rPr>
          <w:color w:val="auto"/>
          <w:sz w:val="20"/>
          <w:szCs w:val="20"/>
        </w:rPr>
        <w:t xml:space="preserve">Additionally, the Commission concludes that the petition was presented within a reasonable time, in accordance with Article 32.2 of its Rules of Procedure. That conclusion is based on the fact that although the incident occurred in 2000 and the petition was received in 2009, some of its effects—such as the absence of a final judgment and the failure to convict the perpetrators of the violations—extend into the present. Therefore, given the context and characteristics of the facts described in this report, the Commission believes that it was presented within a reasonable time and that the admissibility requirement regarding the timeliness of its presentation must be deemed met. </w:t>
      </w:r>
    </w:p>
    <w:p w:rsidR="00211832" w:rsidRPr="0075249D" w:rsidRDefault="00211832" w:rsidP="00942FFB">
      <w:pPr>
        <w:pStyle w:val="ListParagraph"/>
        <w:spacing w:before="240" w:after="240"/>
        <w:jc w:val="both"/>
        <w:rPr>
          <w:b/>
          <w:bCs/>
          <w:color w:val="auto"/>
          <w:sz w:val="20"/>
          <w:szCs w:val="20"/>
        </w:rPr>
      </w:pPr>
      <w:r w:rsidRPr="0075249D">
        <w:rPr>
          <w:b/>
          <w:bCs/>
          <w:sz w:val="20"/>
          <w:szCs w:val="20"/>
        </w:rPr>
        <w:lastRenderedPageBreak/>
        <w:t>VII.</w:t>
      </w:r>
      <w:r w:rsidRPr="0075249D">
        <w:rPr>
          <w:b/>
          <w:bCs/>
          <w:sz w:val="20"/>
          <w:szCs w:val="20"/>
        </w:rPr>
        <w:tab/>
        <w:t>ANALYSIS OF COLORABLE CLAIM</w:t>
      </w:r>
    </w:p>
    <w:p w:rsidR="00211832" w:rsidRPr="0075249D" w:rsidRDefault="00211832" w:rsidP="00942FFB">
      <w:pPr>
        <w:numPr>
          <w:ilvl w:val="0"/>
          <w:numId w:val="51"/>
        </w:numPr>
        <w:suppressAutoHyphens/>
        <w:spacing w:after="240"/>
        <w:jc w:val="both"/>
        <w:rPr>
          <w:rFonts w:ascii="Cambria" w:hAnsi="Cambria" w:cs="Cambria"/>
          <w:sz w:val="20"/>
          <w:szCs w:val="20"/>
        </w:rPr>
      </w:pPr>
      <w:r w:rsidRPr="0075249D">
        <w:rPr>
          <w:rFonts w:ascii="Cambria" w:hAnsi="Cambria" w:cs="Cambria"/>
          <w:sz w:val="20"/>
          <w:szCs w:val="20"/>
        </w:rPr>
        <w:t xml:space="preserve">The Commission sees that the instant petition includes allegations regarding domestic violence suffered by </w:t>
      </w:r>
      <w:proofErr w:type="spellStart"/>
      <w:r w:rsidRPr="0075249D">
        <w:rPr>
          <w:rFonts w:ascii="Cambria" w:hAnsi="Cambria" w:cs="Cambria"/>
          <w:sz w:val="20"/>
          <w:szCs w:val="20"/>
        </w:rPr>
        <w:t>Margareth</w:t>
      </w:r>
      <w:proofErr w:type="spellEnd"/>
      <w:r w:rsidRPr="0075249D">
        <w:rPr>
          <w:rFonts w:ascii="Cambria" w:hAnsi="Cambria" w:cs="Cambria"/>
          <w:sz w:val="20"/>
          <w:szCs w:val="20"/>
        </w:rPr>
        <w:t xml:space="preserve"> </w:t>
      </w:r>
      <w:proofErr w:type="spellStart"/>
      <w:r w:rsidRPr="0075249D">
        <w:rPr>
          <w:rFonts w:ascii="Cambria" w:hAnsi="Cambria" w:cs="Cambria"/>
          <w:sz w:val="20"/>
          <w:szCs w:val="20"/>
        </w:rPr>
        <w:t>Figueiredo</w:t>
      </w:r>
      <w:proofErr w:type="spellEnd"/>
      <w:r w:rsidRPr="0075249D">
        <w:rPr>
          <w:rFonts w:ascii="Cambria" w:hAnsi="Cambria" w:cs="Cambria"/>
          <w:sz w:val="20"/>
          <w:szCs w:val="20"/>
        </w:rPr>
        <w:t xml:space="preserve"> Alves that led to two attempts on her life by her former husband, an agent of the State. The Commission further sees that the petition at hand involves allegations regarding failings on the part of the Brazilian State, in that despite being aware of the threats made against the alleged victim it did not take the proper steps to prevent those violations and in that it has failed to reach a final judgment in the criminal proceedings brought in connection with the attempted murder that took place in 2003. </w:t>
      </w:r>
    </w:p>
    <w:p w:rsidR="00211832" w:rsidRPr="0075249D" w:rsidRDefault="00211832" w:rsidP="00942FFB">
      <w:pPr>
        <w:numPr>
          <w:ilvl w:val="0"/>
          <w:numId w:val="51"/>
        </w:numPr>
        <w:suppressAutoHyphens/>
        <w:spacing w:after="240"/>
        <w:jc w:val="both"/>
        <w:rPr>
          <w:rFonts w:ascii="Cambria" w:hAnsi="Cambria" w:cs="Cambria"/>
          <w:color w:val="FF0000"/>
          <w:sz w:val="20"/>
          <w:szCs w:val="20"/>
        </w:rPr>
      </w:pPr>
      <w:r w:rsidRPr="0075249D">
        <w:rPr>
          <w:rFonts w:ascii="Cambria" w:hAnsi="Cambria" w:cs="Cambria"/>
          <w:sz w:val="20"/>
          <w:szCs w:val="20"/>
        </w:rPr>
        <w:t xml:space="preserve">In consideration whereof and after examining the questions of fact and law set out by the parties, the Commission finds that the petitioner’s contentions are not manifestly groundless and that an examination of the merits is warranted, given that the alleged facts, if proven, could tend to establish violations of the rights protected by Articles 4 (life), 5 (humane treatment), 7 (personal liberty), 8 (fair trial), 11 (privacy), and 25 (judicial protection) of the ACHR, in conjunction with Article 1.1 thereof (obligation to respect rights), and by Article 7 of the Convention of </w:t>
      </w:r>
      <w:proofErr w:type="spellStart"/>
      <w:r w:rsidRPr="0075249D">
        <w:rPr>
          <w:rFonts w:ascii="Cambria" w:hAnsi="Cambria" w:cs="Cambria"/>
          <w:sz w:val="20"/>
          <w:szCs w:val="20"/>
        </w:rPr>
        <w:t>Belém</w:t>
      </w:r>
      <w:proofErr w:type="spellEnd"/>
      <w:r w:rsidRPr="0075249D">
        <w:rPr>
          <w:rFonts w:ascii="Cambria" w:hAnsi="Cambria" w:cs="Cambria"/>
          <w:sz w:val="20"/>
          <w:szCs w:val="20"/>
        </w:rPr>
        <w:t xml:space="preserve"> do </w:t>
      </w:r>
      <w:proofErr w:type="spellStart"/>
      <w:r w:rsidRPr="0075249D">
        <w:rPr>
          <w:rFonts w:ascii="Cambria" w:hAnsi="Cambria" w:cs="Cambria"/>
          <w:sz w:val="20"/>
          <w:szCs w:val="20"/>
        </w:rPr>
        <w:t>Pará</w:t>
      </w:r>
      <w:proofErr w:type="spellEnd"/>
      <w:r w:rsidRPr="0075249D">
        <w:rPr>
          <w:rFonts w:ascii="Cambria" w:hAnsi="Cambria" w:cs="Cambria"/>
          <w:sz w:val="20"/>
          <w:szCs w:val="20"/>
        </w:rPr>
        <w:t>.</w:t>
      </w:r>
    </w:p>
    <w:p w:rsidR="00211832" w:rsidRPr="0075249D" w:rsidRDefault="00211832" w:rsidP="00942FFB">
      <w:pPr>
        <w:numPr>
          <w:ilvl w:val="0"/>
          <w:numId w:val="51"/>
        </w:numPr>
        <w:suppressAutoHyphens/>
        <w:spacing w:after="240"/>
        <w:jc w:val="both"/>
        <w:rPr>
          <w:rFonts w:ascii="Cambria" w:hAnsi="Cambria" w:cs="Cambria"/>
          <w:sz w:val="20"/>
          <w:szCs w:val="20"/>
        </w:rPr>
      </w:pPr>
      <w:r w:rsidRPr="0075249D">
        <w:rPr>
          <w:rFonts w:ascii="Cambria" w:eastAsia="Batang" w:hAnsi="Cambria" w:cs="Cambria"/>
          <w:sz w:val="20"/>
          <w:szCs w:val="20"/>
        </w:rPr>
        <w:t xml:space="preserve">Regarding the petitioner’s allegations of violations of the American Declaration, the Commission notes that it has previously established that once the American Convention has come into effect for a given State, it is that instrument and not the Declaration that is the primary source of the applicable law, provided that the petition describes an alleged violation of rights that are identical in both documents and does not entail a situation of ongoing violations. </w:t>
      </w:r>
    </w:p>
    <w:p w:rsidR="00211832" w:rsidRPr="0075249D" w:rsidRDefault="00211832" w:rsidP="00942FFB">
      <w:pPr>
        <w:numPr>
          <w:ilvl w:val="0"/>
          <w:numId w:val="51"/>
        </w:numPr>
        <w:suppressAutoHyphens/>
        <w:spacing w:after="240"/>
        <w:jc w:val="both"/>
        <w:rPr>
          <w:rFonts w:ascii="Cambria" w:hAnsi="Cambria" w:cs="Cambria"/>
          <w:sz w:val="20"/>
          <w:szCs w:val="20"/>
        </w:rPr>
      </w:pPr>
      <w:r w:rsidRPr="0075249D">
        <w:rPr>
          <w:rFonts w:ascii="Cambria" w:eastAsia="Batang" w:hAnsi="Cambria" w:cs="Cambria"/>
          <w:sz w:val="20"/>
          <w:szCs w:val="20"/>
        </w:rPr>
        <w:t xml:space="preserve">Finally, as regards the alleged violations of Articles </w:t>
      </w:r>
      <w:r w:rsidRPr="0075249D">
        <w:rPr>
          <w:rFonts w:ascii="Cambria" w:hAnsi="Cambria" w:cs="Cambria"/>
          <w:sz w:val="20"/>
          <w:szCs w:val="20"/>
        </w:rPr>
        <w:t xml:space="preserve">3, 4, 5, and 6 of the Convention of </w:t>
      </w:r>
      <w:proofErr w:type="spellStart"/>
      <w:r w:rsidRPr="0075249D">
        <w:rPr>
          <w:rFonts w:ascii="Cambria" w:hAnsi="Cambria" w:cs="Cambria"/>
          <w:sz w:val="20"/>
          <w:szCs w:val="20"/>
        </w:rPr>
        <w:t>Belém</w:t>
      </w:r>
      <w:proofErr w:type="spellEnd"/>
      <w:r w:rsidRPr="0075249D">
        <w:rPr>
          <w:rFonts w:ascii="Cambria" w:hAnsi="Cambria" w:cs="Cambria"/>
          <w:sz w:val="20"/>
          <w:szCs w:val="20"/>
        </w:rPr>
        <w:t xml:space="preserve"> do </w:t>
      </w:r>
      <w:proofErr w:type="spellStart"/>
      <w:r w:rsidRPr="0075249D">
        <w:rPr>
          <w:rFonts w:ascii="Cambria" w:hAnsi="Cambria" w:cs="Cambria"/>
          <w:sz w:val="20"/>
          <w:szCs w:val="20"/>
        </w:rPr>
        <w:t>Pará</w:t>
      </w:r>
      <w:proofErr w:type="spellEnd"/>
      <w:r w:rsidRPr="0075249D">
        <w:rPr>
          <w:rFonts w:ascii="Cambria" w:hAnsi="Cambria" w:cs="Cambria"/>
          <w:sz w:val="20"/>
          <w:szCs w:val="20"/>
        </w:rPr>
        <w:t>, the IACHR notes that the competence established in Article 12 of that instrument</w:t>
      </w:r>
      <w:r w:rsidRPr="0075249D">
        <w:rPr>
          <w:rFonts w:ascii="Cambria" w:hAnsi="Cambria" w:cs="Cambria"/>
          <w:sz w:val="20"/>
          <w:szCs w:val="20"/>
          <w:vertAlign w:val="superscript"/>
        </w:rPr>
        <w:footnoteReference w:id="12"/>
      </w:r>
      <w:r w:rsidRPr="0075249D">
        <w:rPr>
          <w:rFonts w:ascii="Cambria" w:hAnsi="Cambria" w:cs="Cambria"/>
          <w:sz w:val="20"/>
          <w:szCs w:val="20"/>
        </w:rPr>
        <w:t xml:space="preserve"> for ruling in the context of an individual case is limited to Article 7. Regarding the other articles, in keeping with Article 29 of the American Convention, the Commission may take them into consideration for the interpretation and enforcement of the American Convention and other applicable instruments.</w:t>
      </w:r>
      <w:r w:rsidRPr="0075249D">
        <w:rPr>
          <w:rFonts w:ascii="Cambria" w:hAnsi="Cambria" w:cs="Cambria"/>
          <w:sz w:val="20"/>
          <w:szCs w:val="20"/>
          <w:vertAlign w:val="superscript"/>
        </w:rPr>
        <w:footnoteReference w:id="13"/>
      </w:r>
    </w:p>
    <w:p w:rsidR="00211832" w:rsidRPr="0075249D" w:rsidRDefault="00211832" w:rsidP="00942FFB">
      <w:pPr>
        <w:suppressAutoHyphens/>
        <w:spacing w:before="240" w:after="240"/>
        <w:ind w:left="720"/>
        <w:jc w:val="both"/>
        <w:rPr>
          <w:rFonts w:ascii="Cambria" w:hAnsi="Cambria" w:cs="Cambria"/>
          <w:b/>
          <w:bCs/>
          <w:sz w:val="20"/>
          <w:szCs w:val="20"/>
        </w:rPr>
      </w:pPr>
      <w:r w:rsidRPr="0075249D">
        <w:rPr>
          <w:rFonts w:ascii="Cambria" w:hAnsi="Cambria" w:cs="Cambria"/>
          <w:b/>
          <w:bCs/>
          <w:sz w:val="20"/>
          <w:szCs w:val="20"/>
        </w:rPr>
        <w:t xml:space="preserve">VIII. </w:t>
      </w:r>
      <w:r w:rsidRPr="0075249D">
        <w:rPr>
          <w:rFonts w:ascii="Cambria" w:hAnsi="Cambria" w:cs="Cambria"/>
          <w:b/>
          <w:bCs/>
          <w:sz w:val="20"/>
          <w:szCs w:val="20"/>
        </w:rPr>
        <w:tab/>
        <w:t xml:space="preserve">DECISION </w:t>
      </w:r>
    </w:p>
    <w:p w:rsidR="00211832" w:rsidRPr="0075249D" w:rsidRDefault="00211832" w:rsidP="00942FFB">
      <w:pPr>
        <w:numPr>
          <w:ilvl w:val="0"/>
          <w:numId w:val="52"/>
        </w:numPr>
        <w:suppressAutoHyphens/>
        <w:spacing w:after="240"/>
        <w:jc w:val="both"/>
        <w:rPr>
          <w:rFonts w:ascii="Cambria" w:hAnsi="Cambria" w:cs="Cambria"/>
          <w:sz w:val="20"/>
          <w:szCs w:val="20"/>
        </w:rPr>
      </w:pPr>
      <w:r w:rsidRPr="0075249D">
        <w:rPr>
          <w:rFonts w:ascii="Cambria" w:hAnsi="Cambria" w:cs="Cambria"/>
          <w:sz w:val="20"/>
          <w:szCs w:val="20"/>
        </w:rPr>
        <w:t xml:space="preserve">To admit the instant petition as regards Articles 4 (life), 5 (humane treatment), 7 (personal liberty), 8 (fair trial), 11 (privacy), and 25 (judicial protection) of the ACHR, in conjunction with Article 1.1 thereof (obligation to respect rights), and as regards Article 7 of the Convention of </w:t>
      </w:r>
      <w:proofErr w:type="spellStart"/>
      <w:r w:rsidRPr="0075249D">
        <w:rPr>
          <w:rFonts w:ascii="Cambria" w:hAnsi="Cambria" w:cs="Cambria"/>
          <w:sz w:val="20"/>
          <w:szCs w:val="20"/>
        </w:rPr>
        <w:t>Belém</w:t>
      </w:r>
      <w:proofErr w:type="spellEnd"/>
      <w:r w:rsidRPr="0075249D">
        <w:rPr>
          <w:rFonts w:ascii="Cambria" w:hAnsi="Cambria" w:cs="Cambria"/>
          <w:sz w:val="20"/>
          <w:szCs w:val="20"/>
        </w:rPr>
        <w:t xml:space="preserve"> do </w:t>
      </w:r>
      <w:proofErr w:type="spellStart"/>
      <w:r w:rsidRPr="0075249D">
        <w:rPr>
          <w:rFonts w:ascii="Cambria" w:hAnsi="Cambria" w:cs="Cambria"/>
          <w:sz w:val="20"/>
          <w:szCs w:val="20"/>
        </w:rPr>
        <w:t>Pará</w:t>
      </w:r>
      <w:proofErr w:type="spellEnd"/>
      <w:r w:rsidRPr="0075249D">
        <w:rPr>
          <w:rFonts w:ascii="Cambria" w:hAnsi="Cambria" w:cs="Cambria"/>
          <w:sz w:val="20"/>
          <w:szCs w:val="20"/>
        </w:rPr>
        <w:t>;</w:t>
      </w:r>
    </w:p>
    <w:p w:rsidR="00211832" w:rsidRPr="0075249D" w:rsidRDefault="00211832" w:rsidP="00942FFB">
      <w:pPr>
        <w:numPr>
          <w:ilvl w:val="0"/>
          <w:numId w:val="52"/>
        </w:numPr>
        <w:suppressAutoHyphens/>
        <w:spacing w:after="240"/>
        <w:jc w:val="both"/>
        <w:rPr>
          <w:rFonts w:ascii="Cambria" w:hAnsi="Cambria" w:cs="Cambria"/>
          <w:sz w:val="20"/>
          <w:szCs w:val="20"/>
        </w:rPr>
      </w:pPr>
      <w:r w:rsidRPr="0075249D">
        <w:rPr>
          <w:rFonts w:ascii="Cambria" w:hAnsi="Cambria" w:cs="Cambria"/>
          <w:sz w:val="20"/>
          <w:szCs w:val="20"/>
        </w:rPr>
        <w:t xml:space="preserve">To notify the parties of this decision; to continue with its analysis of the merits; and to publish this decision and to include it in its Annual Report to the General Assembly of the Organization of American States. </w:t>
      </w:r>
    </w:p>
    <w:p w:rsidR="00211832" w:rsidRPr="00501ABA" w:rsidRDefault="00287CDF" w:rsidP="00501ABA">
      <w:pPr>
        <w:suppressAutoHyphens/>
        <w:ind w:firstLine="720"/>
        <w:jc w:val="both"/>
        <w:rPr>
          <w:rFonts w:ascii="Cambria" w:hAnsi="Cambria"/>
          <w:spacing w:val="-2"/>
          <w:sz w:val="20"/>
        </w:rPr>
      </w:pPr>
      <w:r>
        <w:rPr>
          <w:rFonts w:ascii="Cambria" w:hAnsi="Cambria"/>
          <w:spacing w:val="-2"/>
          <w:sz w:val="20"/>
        </w:rPr>
        <w:t>Approved by the Inter-American Commission on Human Rights</w:t>
      </w:r>
      <w:r w:rsidRPr="00365F2F">
        <w:rPr>
          <w:rFonts w:ascii="Cambria" w:hAnsi="Cambria"/>
          <w:spacing w:val="-2"/>
          <w:sz w:val="20"/>
        </w:rPr>
        <w:t xml:space="preserve"> on the </w:t>
      </w:r>
      <w:r>
        <w:rPr>
          <w:rFonts w:ascii="Cambria" w:hAnsi="Cambria"/>
          <w:spacing w:val="-2"/>
          <w:sz w:val="20"/>
        </w:rPr>
        <w:t>25</w:t>
      </w:r>
      <w:r w:rsidRPr="00287CDF">
        <w:rPr>
          <w:rFonts w:ascii="Cambria" w:hAnsi="Cambria"/>
          <w:spacing w:val="-2"/>
          <w:sz w:val="20"/>
          <w:vertAlign w:val="superscript"/>
        </w:rPr>
        <w:t>th</w:t>
      </w:r>
      <w:r>
        <w:rPr>
          <w:rFonts w:ascii="Cambria" w:hAnsi="Cambria"/>
          <w:spacing w:val="-2"/>
          <w:sz w:val="20"/>
        </w:rPr>
        <w:t xml:space="preserve"> </w:t>
      </w:r>
      <w:r w:rsidRPr="00365F2F">
        <w:rPr>
          <w:rFonts w:ascii="Cambria" w:hAnsi="Cambria"/>
          <w:spacing w:val="-2"/>
          <w:sz w:val="20"/>
        </w:rPr>
        <w:t xml:space="preserve">day of the month of </w:t>
      </w:r>
      <w:r>
        <w:rPr>
          <w:rFonts w:ascii="Cambria" w:hAnsi="Cambria"/>
          <w:spacing w:val="-2"/>
          <w:sz w:val="20"/>
        </w:rPr>
        <w:t>April,</w:t>
      </w:r>
      <w:r w:rsidRPr="00365F2F">
        <w:rPr>
          <w:rFonts w:ascii="Cambria" w:hAnsi="Cambria"/>
          <w:spacing w:val="-2"/>
          <w:sz w:val="20"/>
        </w:rPr>
        <w:t xml:space="preserve"> </w:t>
      </w:r>
      <w:r>
        <w:rPr>
          <w:rFonts w:ascii="Cambria" w:hAnsi="Cambria"/>
          <w:spacing w:val="-2"/>
          <w:sz w:val="20"/>
        </w:rPr>
        <w:t>2020</w:t>
      </w:r>
      <w:r w:rsidRPr="00365F2F">
        <w:rPr>
          <w:rFonts w:ascii="Cambria" w:hAnsi="Cambria"/>
          <w:spacing w:val="-2"/>
          <w:sz w:val="20"/>
        </w:rPr>
        <w:t xml:space="preserve">. </w:t>
      </w:r>
      <w:r w:rsidRPr="007F3C48">
        <w:rPr>
          <w:rFonts w:ascii="Cambria" w:hAnsi="Cambria"/>
          <w:spacing w:val="-2"/>
          <w:sz w:val="20"/>
        </w:rPr>
        <w:t xml:space="preserve">(Signed):  </w:t>
      </w:r>
      <w:r w:rsidRPr="007F3C48">
        <w:rPr>
          <w:rFonts w:asciiTheme="majorHAnsi" w:hAnsiTheme="majorHAnsi" w:cs="Arial"/>
          <w:noProof/>
          <w:spacing w:val="-2"/>
          <w:sz w:val="20"/>
          <w:szCs w:val="20"/>
        </w:rPr>
        <w:t>Joel H</w:t>
      </w:r>
      <w:r>
        <w:rPr>
          <w:rFonts w:asciiTheme="majorHAnsi" w:hAnsiTheme="majorHAnsi" w:cs="Arial"/>
          <w:noProof/>
          <w:spacing w:val="-2"/>
          <w:sz w:val="20"/>
          <w:szCs w:val="20"/>
        </w:rPr>
        <w:t>ernández, President; Antonia Ur</w:t>
      </w:r>
      <w:r w:rsidRPr="007F3C48">
        <w:rPr>
          <w:rFonts w:asciiTheme="majorHAnsi" w:hAnsiTheme="majorHAnsi" w:cs="Arial"/>
          <w:noProof/>
          <w:spacing w:val="-2"/>
          <w:sz w:val="20"/>
          <w:szCs w:val="20"/>
        </w:rPr>
        <w:t xml:space="preserve">rejola, First Vice President; </w:t>
      </w:r>
      <w:r w:rsidRPr="00DD57A5">
        <w:rPr>
          <w:rFonts w:asciiTheme="majorHAnsi" w:hAnsiTheme="majorHAnsi" w:cs="Arial"/>
          <w:noProof/>
          <w:spacing w:val="-2"/>
          <w:sz w:val="20"/>
          <w:szCs w:val="20"/>
        </w:rPr>
        <w:t>Margarette May Macaulay, Esmeralda E. Arosemena Bernal de Troitiño</w:t>
      </w:r>
      <w:r>
        <w:rPr>
          <w:rFonts w:asciiTheme="majorHAnsi" w:hAnsiTheme="majorHAnsi" w:cs="Arial"/>
          <w:noProof/>
          <w:spacing w:val="-2"/>
          <w:sz w:val="20"/>
          <w:szCs w:val="20"/>
        </w:rPr>
        <w:t>,</w:t>
      </w:r>
      <w:r w:rsidRPr="007F3C48">
        <w:rPr>
          <w:rFonts w:asciiTheme="majorHAnsi" w:hAnsiTheme="majorHAnsi" w:cs="Arial"/>
          <w:noProof/>
          <w:spacing w:val="-2"/>
          <w:sz w:val="20"/>
          <w:szCs w:val="20"/>
        </w:rPr>
        <w:t xml:space="preserve"> </w:t>
      </w:r>
      <w:r>
        <w:rPr>
          <w:rFonts w:asciiTheme="majorHAnsi" w:hAnsiTheme="majorHAnsi" w:cs="Arial"/>
          <w:noProof/>
          <w:spacing w:val="-2"/>
          <w:sz w:val="20"/>
          <w:szCs w:val="20"/>
        </w:rPr>
        <w:t>and</w:t>
      </w:r>
      <w:r w:rsidRPr="007F3C48">
        <w:rPr>
          <w:rFonts w:asciiTheme="majorHAnsi" w:hAnsiTheme="majorHAnsi" w:cs="Arial"/>
          <w:noProof/>
          <w:spacing w:val="-2"/>
          <w:sz w:val="20"/>
          <w:szCs w:val="20"/>
        </w:rPr>
        <w:t xml:space="preserve"> Stuardo Ralón Orellana,</w:t>
      </w:r>
      <w:r>
        <w:rPr>
          <w:rFonts w:asciiTheme="majorHAnsi" w:hAnsiTheme="majorHAnsi" w:cs="Arial"/>
          <w:noProof/>
          <w:spacing w:val="-2"/>
          <w:sz w:val="20"/>
          <w:szCs w:val="20"/>
        </w:rPr>
        <w:t xml:space="preserve"> </w:t>
      </w:r>
      <w:r w:rsidRPr="00365F2F">
        <w:rPr>
          <w:rFonts w:ascii="Cambria" w:hAnsi="Cambria"/>
          <w:spacing w:val="-2"/>
          <w:sz w:val="20"/>
        </w:rPr>
        <w:t>Commissioners.</w:t>
      </w:r>
    </w:p>
    <w:sectPr w:rsidR="00211832" w:rsidRPr="00501ABA" w:rsidSect="00934A2C">
      <w:headerReference w:type="default" r:id="rId16"/>
      <w:footerReference w:type="default" r:id="rId17"/>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5BED" w:rsidRDefault="003C5BED" w:rsidP="006D7C37">
      <w:r>
        <w:separator/>
      </w:r>
    </w:p>
  </w:endnote>
  <w:endnote w:type="continuationSeparator" w:id="0">
    <w:p w:rsidR="003C5BED" w:rsidRDefault="003C5BED" w:rsidP="006D7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110A" w:rsidRDefault="00D2110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1832" w:rsidRPr="00942FFB" w:rsidRDefault="00211832">
    <w:pPr>
      <w:pStyle w:val="Footer"/>
      <w:jc w:val="center"/>
      <w:rPr>
        <w:noProof/>
        <w:sz w:val="16"/>
        <w:szCs w:val="16"/>
      </w:rPr>
    </w:pPr>
    <w:r w:rsidRPr="00942FFB">
      <w:rPr>
        <w:noProof/>
        <w:sz w:val="16"/>
        <w:szCs w:val="16"/>
      </w:rPr>
      <w:fldChar w:fldCharType="begin"/>
    </w:r>
    <w:r w:rsidRPr="00942FFB">
      <w:rPr>
        <w:noProof/>
        <w:sz w:val="16"/>
        <w:szCs w:val="16"/>
      </w:rPr>
      <w:instrText xml:space="preserve"> PAGE   \* MERGEFORMAT </w:instrText>
    </w:r>
    <w:r w:rsidRPr="00942FFB">
      <w:rPr>
        <w:noProof/>
        <w:sz w:val="16"/>
        <w:szCs w:val="16"/>
      </w:rPr>
      <w:fldChar w:fldCharType="separate"/>
    </w:r>
    <w:r>
      <w:rPr>
        <w:noProof/>
        <w:sz w:val="16"/>
        <w:szCs w:val="16"/>
      </w:rPr>
      <w:t>1</w:t>
    </w:r>
    <w:r w:rsidRPr="00942FFB">
      <w:rPr>
        <w:noProof/>
        <w:sz w:val="16"/>
        <w:szCs w:val="16"/>
      </w:rPr>
      <w:fldChar w:fldCharType="end"/>
    </w:r>
  </w:p>
  <w:p w:rsidR="00211832" w:rsidRPr="00942FFB" w:rsidRDefault="00211832">
    <w:pPr>
      <w:pStyle w:val="Footer"/>
      <w:rPr>
        <w:noProof/>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1832" w:rsidRPr="00942FFB" w:rsidRDefault="00211832">
    <w:pPr>
      <w:pStyle w:val="Footer"/>
      <w:jc w:val="center"/>
      <w:rPr>
        <w:noProof/>
        <w:sz w:val="16"/>
        <w:szCs w:val="16"/>
      </w:rPr>
    </w:pPr>
  </w:p>
  <w:p w:rsidR="00211832" w:rsidRPr="00942FFB" w:rsidRDefault="00211832">
    <w:pPr>
      <w:pStyle w:val="Footer"/>
      <w:rPr>
        <w:noProof/>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1832" w:rsidRPr="00942FFB" w:rsidRDefault="00211832">
    <w:pPr>
      <w:pStyle w:val="Footer"/>
      <w:jc w:val="center"/>
      <w:rPr>
        <w:noProof/>
        <w:sz w:val="16"/>
        <w:szCs w:val="16"/>
      </w:rPr>
    </w:pPr>
    <w:r w:rsidRPr="00942FFB">
      <w:rPr>
        <w:noProof/>
        <w:sz w:val="16"/>
        <w:szCs w:val="16"/>
      </w:rPr>
      <w:fldChar w:fldCharType="begin"/>
    </w:r>
    <w:r w:rsidRPr="00942FFB">
      <w:rPr>
        <w:noProof/>
        <w:sz w:val="16"/>
        <w:szCs w:val="16"/>
      </w:rPr>
      <w:instrText xml:space="preserve"> PAGE   \* MERGEFORMAT </w:instrText>
    </w:r>
    <w:r w:rsidRPr="00942FFB">
      <w:rPr>
        <w:noProof/>
        <w:sz w:val="16"/>
        <w:szCs w:val="16"/>
      </w:rPr>
      <w:fldChar w:fldCharType="separate"/>
    </w:r>
    <w:r w:rsidR="00D2110A">
      <w:rPr>
        <w:noProof/>
        <w:sz w:val="16"/>
        <w:szCs w:val="16"/>
      </w:rPr>
      <w:t>1</w:t>
    </w:r>
    <w:r w:rsidRPr="00942FFB">
      <w:rPr>
        <w:noProof/>
        <w:sz w:val="16"/>
        <w:szCs w:val="16"/>
      </w:rPr>
      <w:fldChar w:fldCharType="end"/>
    </w:r>
  </w:p>
  <w:p w:rsidR="00211832" w:rsidRPr="00942FFB" w:rsidRDefault="00211832">
    <w:pPr>
      <w:pStyle w:val="Footer"/>
      <w:rPr>
        <w:noProo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5BED" w:rsidRPr="00942FFB" w:rsidRDefault="003C5BED">
      <w:pPr>
        <w:rPr>
          <w:rFonts w:ascii="Cambria" w:hAnsi="Cambria" w:cs="Cambria"/>
          <w:noProof/>
          <w:sz w:val="16"/>
          <w:szCs w:val="16"/>
        </w:rPr>
      </w:pPr>
      <w:r w:rsidRPr="00942FFB">
        <w:rPr>
          <w:rFonts w:ascii="Cambria" w:hAnsi="Cambria" w:cs="Cambria"/>
          <w:noProof/>
          <w:sz w:val="16"/>
          <w:szCs w:val="16"/>
        </w:rPr>
        <w:separator/>
      </w:r>
    </w:p>
  </w:footnote>
  <w:footnote w:type="continuationSeparator" w:id="0">
    <w:p w:rsidR="003C5BED" w:rsidRPr="00942FFB" w:rsidRDefault="003C5BED" w:rsidP="000F35ED">
      <w:pPr>
        <w:rPr>
          <w:rFonts w:ascii="Cambria" w:hAnsi="Cambria" w:cs="Cambria"/>
          <w:noProof/>
          <w:sz w:val="16"/>
          <w:szCs w:val="16"/>
        </w:rPr>
      </w:pPr>
      <w:r w:rsidRPr="00942FFB">
        <w:rPr>
          <w:rFonts w:ascii="Cambria" w:hAnsi="Cambria" w:cs="Cambria"/>
          <w:noProof/>
          <w:sz w:val="16"/>
          <w:szCs w:val="16"/>
        </w:rPr>
        <w:separator/>
      </w:r>
    </w:p>
    <w:p w:rsidR="003C5BED" w:rsidRPr="00942FFB" w:rsidRDefault="003C5BED" w:rsidP="000F35ED">
      <w:pPr>
        <w:pStyle w:val="Footer"/>
        <w:rPr>
          <w:noProof/>
          <w:sz w:val="16"/>
          <w:szCs w:val="16"/>
        </w:rPr>
      </w:pPr>
      <w:r w:rsidRPr="00942FFB">
        <w:rPr>
          <w:noProof/>
          <w:sz w:val="16"/>
          <w:szCs w:val="16"/>
        </w:rPr>
        <w:t>[… continuación]</w:t>
      </w:r>
    </w:p>
  </w:footnote>
  <w:footnote w:type="continuationNotice" w:id="1">
    <w:p w:rsidR="003C5BED" w:rsidRPr="00942FFB" w:rsidRDefault="003C5BED" w:rsidP="000F35ED">
      <w:pPr>
        <w:jc w:val="right"/>
        <w:rPr>
          <w:rFonts w:ascii="Cambria" w:hAnsi="Cambria" w:cs="Cambria"/>
          <w:noProof/>
          <w:sz w:val="16"/>
          <w:szCs w:val="16"/>
        </w:rPr>
      </w:pPr>
      <w:r w:rsidRPr="00942FFB">
        <w:rPr>
          <w:rFonts w:ascii="Cambria" w:hAnsi="Cambria" w:cs="Cambria"/>
          <w:noProof/>
          <w:sz w:val="16"/>
          <w:szCs w:val="16"/>
        </w:rPr>
        <w:t>[continúa…]</w:t>
      </w:r>
    </w:p>
  </w:footnote>
  <w:footnote w:id="2">
    <w:p w:rsidR="00211832" w:rsidRDefault="00211832" w:rsidP="00BA480F">
      <w:pPr>
        <w:pStyle w:val="FootnoteText"/>
        <w:tabs>
          <w:tab w:val="left" w:pos="720"/>
        </w:tabs>
        <w:ind w:firstLine="360"/>
        <w:jc w:val="both"/>
      </w:pPr>
      <w:r w:rsidRPr="008900F9">
        <w:rPr>
          <w:rStyle w:val="FootnoteReference"/>
          <w:rFonts w:ascii="Cambria" w:hAnsi="Cambria" w:cs="Cambria"/>
          <w:sz w:val="16"/>
          <w:szCs w:val="16"/>
        </w:rPr>
        <w:footnoteRef/>
      </w:r>
      <w:r w:rsidRPr="008900F9">
        <w:rPr>
          <w:rFonts w:ascii="Cambria" w:hAnsi="Cambria" w:cs="Cambria"/>
          <w:sz w:val="16"/>
          <w:szCs w:val="16"/>
        </w:rPr>
        <w:t xml:space="preserve"> </w:t>
      </w:r>
      <w:r w:rsidRPr="008900F9">
        <w:rPr>
          <w:rFonts w:ascii="Cambria" w:hAnsi="Cambria" w:cs="Cambria"/>
          <w:sz w:val="16"/>
          <w:szCs w:val="16"/>
        </w:rPr>
        <w:tab/>
        <w:t xml:space="preserve">In keeping with Article 17.2.a of the Commission’s Rules of Procedure, Commissioner </w:t>
      </w:r>
      <w:proofErr w:type="spellStart"/>
      <w:r w:rsidRPr="008900F9">
        <w:rPr>
          <w:rFonts w:ascii="Cambria" w:hAnsi="Cambria" w:cs="Cambria"/>
          <w:sz w:val="16"/>
          <w:szCs w:val="16"/>
        </w:rPr>
        <w:t>Flávia</w:t>
      </w:r>
      <w:proofErr w:type="spellEnd"/>
      <w:r w:rsidRPr="008900F9">
        <w:rPr>
          <w:rFonts w:ascii="Cambria" w:hAnsi="Cambria" w:cs="Cambria"/>
          <w:sz w:val="16"/>
          <w:szCs w:val="16"/>
        </w:rPr>
        <w:t xml:space="preserve"> </w:t>
      </w:r>
      <w:proofErr w:type="spellStart"/>
      <w:r w:rsidRPr="008900F9">
        <w:rPr>
          <w:rFonts w:ascii="Cambria" w:hAnsi="Cambria" w:cs="Cambria"/>
          <w:sz w:val="16"/>
          <w:szCs w:val="16"/>
        </w:rPr>
        <w:t>Piovesan</w:t>
      </w:r>
      <w:proofErr w:type="spellEnd"/>
      <w:r w:rsidRPr="008900F9">
        <w:rPr>
          <w:rFonts w:ascii="Cambria" w:hAnsi="Cambria" w:cs="Cambria"/>
          <w:sz w:val="16"/>
          <w:szCs w:val="16"/>
        </w:rPr>
        <w:t xml:space="preserve">, a Brazilian national, did not participate in either discussing or deciding on this matter. </w:t>
      </w:r>
    </w:p>
  </w:footnote>
  <w:footnote w:id="3">
    <w:p w:rsidR="00211832" w:rsidRDefault="00211832" w:rsidP="00BA480F">
      <w:pPr>
        <w:pStyle w:val="FootnoteText"/>
        <w:tabs>
          <w:tab w:val="left" w:pos="720"/>
        </w:tabs>
        <w:ind w:firstLine="360"/>
        <w:jc w:val="both"/>
      </w:pPr>
      <w:r w:rsidRPr="008900F9">
        <w:rPr>
          <w:rStyle w:val="FootnoteReference"/>
          <w:rFonts w:ascii="Cambria" w:hAnsi="Cambria" w:cs="Cambria"/>
          <w:sz w:val="16"/>
          <w:szCs w:val="16"/>
        </w:rPr>
        <w:footnoteRef/>
      </w:r>
      <w:r w:rsidRPr="008900F9">
        <w:rPr>
          <w:rFonts w:ascii="Cambria" w:hAnsi="Cambria" w:cs="Cambria"/>
          <w:sz w:val="16"/>
          <w:szCs w:val="16"/>
        </w:rPr>
        <w:tab/>
        <w:t>Hereinafter, “American Convention.”</w:t>
      </w:r>
    </w:p>
  </w:footnote>
  <w:footnote w:id="4">
    <w:p w:rsidR="00211832" w:rsidRDefault="00211832" w:rsidP="00BA480F">
      <w:pPr>
        <w:pStyle w:val="FootnoteText"/>
        <w:tabs>
          <w:tab w:val="left" w:pos="720"/>
        </w:tabs>
        <w:ind w:firstLine="360"/>
        <w:jc w:val="both"/>
      </w:pPr>
      <w:r w:rsidRPr="008900F9">
        <w:rPr>
          <w:rStyle w:val="FootnoteReference"/>
          <w:rFonts w:ascii="Cambria" w:hAnsi="Cambria" w:cs="Cambria"/>
          <w:sz w:val="16"/>
          <w:szCs w:val="16"/>
        </w:rPr>
        <w:footnoteRef/>
      </w:r>
      <w:r w:rsidRPr="008900F9">
        <w:rPr>
          <w:rFonts w:ascii="Cambria" w:hAnsi="Cambria" w:cs="Cambria"/>
          <w:sz w:val="16"/>
          <w:szCs w:val="16"/>
        </w:rPr>
        <w:tab/>
        <w:t>Hereinafter, “American Declaration.”</w:t>
      </w:r>
    </w:p>
  </w:footnote>
  <w:footnote w:id="5">
    <w:p w:rsidR="00211832" w:rsidRDefault="00211832" w:rsidP="00BA480F">
      <w:pPr>
        <w:pStyle w:val="FootnoteText"/>
        <w:tabs>
          <w:tab w:val="left" w:pos="720"/>
        </w:tabs>
        <w:ind w:firstLine="360"/>
        <w:jc w:val="both"/>
      </w:pPr>
      <w:r w:rsidRPr="008900F9">
        <w:rPr>
          <w:rStyle w:val="FootnoteReference"/>
          <w:rFonts w:ascii="Cambria" w:hAnsi="Cambria" w:cs="Cambria"/>
          <w:sz w:val="16"/>
          <w:szCs w:val="16"/>
        </w:rPr>
        <w:footnoteRef/>
      </w:r>
      <w:r w:rsidRPr="008900F9">
        <w:rPr>
          <w:rFonts w:ascii="Cambria" w:hAnsi="Cambria" w:cs="Cambria"/>
          <w:sz w:val="16"/>
          <w:szCs w:val="16"/>
        </w:rPr>
        <w:tab/>
        <w:t xml:space="preserve">Hereinafter, “Convention of </w:t>
      </w:r>
      <w:proofErr w:type="spellStart"/>
      <w:r w:rsidRPr="008900F9">
        <w:rPr>
          <w:rFonts w:ascii="Cambria" w:hAnsi="Cambria" w:cs="Cambria"/>
          <w:sz w:val="16"/>
          <w:szCs w:val="16"/>
        </w:rPr>
        <w:t>Belém</w:t>
      </w:r>
      <w:proofErr w:type="spellEnd"/>
      <w:r w:rsidRPr="008900F9">
        <w:rPr>
          <w:rFonts w:ascii="Cambria" w:hAnsi="Cambria" w:cs="Cambria"/>
          <w:sz w:val="16"/>
          <w:szCs w:val="16"/>
        </w:rPr>
        <w:t xml:space="preserve"> do </w:t>
      </w:r>
      <w:proofErr w:type="spellStart"/>
      <w:r w:rsidRPr="008900F9">
        <w:rPr>
          <w:rFonts w:ascii="Cambria" w:hAnsi="Cambria" w:cs="Cambria"/>
          <w:sz w:val="16"/>
          <w:szCs w:val="16"/>
        </w:rPr>
        <w:t>Pará</w:t>
      </w:r>
      <w:proofErr w:type="spellEnd"/>
      <w:r w:rsidRPr="008900F9">
        <w:rPr>
          <w:rFonts w:ascii="Cambria" w:hAnsi="Cambria" w:cs="Cambria"/>
          <w:sz w:val="16"/>
          <w:szCs w:val="16"/>
        </w:rPr>
        <w:t>.”</w:t>
      </w:r>
    </w:p>
  </w:footnote>
  <w:footnote w:id="6">
    <w:p w:rsidR="00211832" w:rsidRDefault="00211832" w:rsidP="00BA480F">
      <w:pPr>
        <w:pStyle w:val="FootnoteText"/>
        <w:tabs>
          <w:tab w:val="left" w:pos="720"/>
        </w:tabs>
        <w:ind w:firstLine="360"/>
        <w:jc w:val="both"/>
      </w:pPr>
      <w:r w:rsidRPr="008900F9">
        <w:rPr>
          <w:rStyle w:val="FootnoteReference"/>
          <w:rFonts w:ascii="Cambria" w:hAnsi="Cambria" w:cs="Cambria"/>
          <w:sz w:val="16"/>
          <w:szCs w:val="16"/>
        </w:rPr>
        <w:footnoteRef/>
      </w:r>
      <w:r w:rsidRPr="008900F9">
        <w:rPr>
          <w:rFonts w:ascii="Cambria" w:hAnsi="Cambria" w:cs="Cambria"/>
          <w:sz w:val="16"/>
          <w:szCs w:val="16"/>
        </w:rPr>
        <w:tab/>
        <w:t>The observations submitted by each party were duly transmitted to the opposing party.</w:t>
      </w:r>
    </w:p>
  </w:footnote>
  <w:footnote w:id="7">
    <w:p w:rsidR="00211832" w:rsidRDefault="00211832" w:rsidP="00BA480F">
      <w:pPr>
        <w:pStyle w:val="FootnoteText"/>
        <w:tabs>
          <w:tab w:val="left" w:pos="720"/>
        </w:tabs>
        <w:ind w:firstLine="360"/>
      </w:pPr>
      <w:r w:rsidRPr="008900F9">
        <w:rPr>
          <w:rStyle w:val="FootnoteReference"/>
          <w:rFonts w:ascii="Cambria" w:hAnsi="Cambria" w:cs="Cambria"/>
          <w:color w:val="auto"/>
          <w:sz w:val="16"/>
          <w:szCs w:val="16"/>
        </w:rPr>
        <w:footnoteRef/>
      </w:r>
      <w:r w:rsidRPr="008900F9">
        <w:rPr>
          <w:rFonts w:ascii="Cambria" w:hAnsi="Cambria" w:cs="Cambria"/>
          <w:color w:val="auto"/>
          <w:sz w:val="16"/>
          <w:szCs w:val="16"/>
        </w:rPr>
        <w:t xml:space="preserve"> </w:t>
      </w:r>
      <w:r w:rsidRPr="008900F9">
        <w:rPr>
          <w:rFonts w:ascii="Cambria" w:hAnsi="Cambria" w:cs="Cambria"/>
          <w:color w:val="auto"/>
          <w:sz w:val="16"/>
          <w:szCs w:val="16"/>
        </w:rPr>
        <w:tab/>
        <w:t xml:space="preserve">Information available at: </w:t>
      </w:r>
      <w:hyperlink r:id="rId1" w:history="1">
        <w:r w:rsidRPr="008900F9">
          <w:rPr>
            <w:rStyle w:val="Hyperlink"/>
            <w:rFonts w:ascii="Cambria" w:hAnsi="Cambria" w:cs="Cambria"/>
            <w:color w:val="auto"/>
            <w:sz w:val="16"/>
            <w:szCs w:val="16"/>
          </w:rPr>
          <w:t>https://www4.tjmg.jus.br/juridico/sf/proc_movimentacoes.jsp?comrCodigo=702&amp;numero=1&amp;listaProcessos=03082263</w:t>
        </w:r>
      </w:hyperlink>
      <w:r w:rsidRPr="008900F9">
        <w:t>.</w:t>
      </w:r>
    </w:p>
  </w:footnote>
  <w:footnote w:id="8">
    <w:p w:rsidR="00211832" w:rsidRDefault="00211832" w:rsidP="00BA480F">
      <w:pPr>
        <w:pStyle w:val="FootnoteText"/>
        <w:tabs>
          <w:tab w:val="left" w:pos="720"/>
        </w:tabs>
        <w:ind w:firstLine="360"/>
        <w:jc w:val="both"/>
      </w:pPr>
      <w:r w:rsidRPr="008900F9">
        <w:rPr>
          <w:rStyle w:val="FootnoteReference"/>
          <w:rFonts w:ascii="Cambria" w:hAnsi="Cambria" w:cs="Cambria"/>
          <w:color w:val="auto"/>
          <w:sz w:val="16"/>
          <w:szCs w:val="16"/>
        </w:rPr>
        <w:footnoteRef/>
      </w:r>
      <w:r w:rsidRPr="008900F9">
        <w:rPr>
          <w:rFonts w:ascii="Cambria" w:hAnsi="Cambria" w:cs="Cambria"/>
          <w:color w:val="auto"/>
          <w:sz w:val="16"/>
          <w:szCs w:val="16"/>
        </w:rPr>
        <w:t xml:space="preserve"> </w:t>
      </w:r>
      <w:r w:rsidRPr="008900F9">
        <w:rPr>
          <w:rFonts w:ascii="Cambria" w:hAnsi="Cambria" w:cs="Cambria"/>
          <w:color w:val="auto"/>
          <w:sz w:val="16"/>
          <w:szCs w:val="16"/>
        </w:rPr>
        <w:tab/>
        <w:t xml:space="preserve">IACHR, Report No. 39/18, Report No. 196-07, Admissibility, José Ricardo Parra Hurtado, Félix Alberto </w:t>
      </w:r>
      <w:proofErr w:type="spellStart"/>
      <w:r w:rsidRPr="008900F9">
        <w:rPr>
          <w:rFonts w:ascii="Cambria" w:hAnsi="Cambria" w:cs="Cambria"/>
          <w:color w:val="auto"/>
          <w:sz w:val="16"/>
          <w:szCs w:val="16"/>
        </w:rPr>
        <w:t>Páez</w:t>
      </w:r>
      <w:proofErr w:type="spellEnd"/>
      <w:r w:rsidRPr="008900F9">
        <w:rPr>
          <w:rFonts w:ascii="Cambria" w:hAnsi="Cambria" w:cs="Cambria"/>
          <w:color w:val="auto"/>
          <w:sz w:val="16"/>
          <w:szCs w:val="16"/>
        </w:rPr>
        <w:t xml:space="preserve"> Suárez, and Families, Colombia, May 4, 2018, para. 12.</w:t>
      </w:r>
    </w:p>
  </w:footnote>
  <w:footnote w:id="9">
    <w:p w:rsidR="00211832" w:rsidRDefault="00211832" w:rsidP="00BA480F">
      <w:pPr>
        <w:pStyle w:val="FootnoteText"/>
        <w:tabs>
          <w:tab w:val="left" w:pos="720"/>
        </w:tabs>
        <w:ind w:firstLine="360"/>
        <w:jc w:val="both"/>
      </w:pPr>
      <w:r w:rsidRPr="008900F9">
        <w:rPr>
          <w:rStyle w:val="FootnoteReference"/>
          <w:rFonts w:ascii="Cambria" w:hAnsi="Cambria" w:cs="Cambria"/>
          <w:color w:val="auto"/>
          <w:sz w:val="16"/>
          <w:szCs w:val="16"/>
        </w:rPr>
        <w:footnoteRef/>
      </w:r>
      <w:r w:rsidRPr="008900F9">
        <w:rPr>
          <w:rFonts w:ascii="Cambria" w:hAnsi="Cambria" w:cs="Cambria"/>
          <w:color w:val="auto"/>
          <w:sz w:val="16"/>
          <w:szCs w:val="16"/>
        </w:rPr>
        <w:t xml:space="preserve"> </w:t>
      </w:r>
      <w:r w:rsidRPr="008900F9">
        <w:rPr>
          <w:rFonts w:ascii="Cambria" w:hAnsi="Cambria" w:cs="Cambria"/>
          <w:color w:val="auto"/>
          <w:sz w:val="16"/>
          <w:szCs w:val="16"/>
        </w:rPr>
        <w:tab/>
        <w:t xml:space="preserve">IACHR, Report No. 161/17, Petition 29-07, Admissibility, Andy Williams </w:t>
      </w:r>
      <w:proofErr w:type="spellStart"/>
      <w:r w:rsidRPr="008900F9">
        <w:rPr>
          <w:rFonts w:ascii="Cambria" w:hAnsi="Cambria" w:cs="Cambria"/>
          <w:color w:val="auto"/>
          <w:sz w:val="16"/>
          <w:szCs w:val="16"/>
        </w:rPr>
        <w:t>Garcés</w:t>
      </w:r>
      <w:proofErr w:type="spellEnd"/>
      <w:r w:rsidRPr="008900F9">
        <w:rPr>
          <w:rFonts w:ascii="Cambria" w:hAnsi="Cambria" w:cs="Cambria"/>
          <w:color w:val="auto"/>
          <w:sz w:val="16"/>
          <w:szCs w:val="16"/>
        </w:rPr>
        <w:t xml:space="preserve"> Suárez and Family, Peru, November 30 2017, para. 12.</w:t>
      </w:r>
    </w:p>
  </w:footnote>
  <w:footnote w:id="10">
    <w:p w:rsidR="00211832" w:rsidRDefault="00211832" w:rsidP="00BA480F">
      <w:pPr>
        <w:pStyle w:val="FootnoteText"/>
        <w:tabs>
          <w:tab w:val="left" w:pos="720"/>
        </w:tabs>
        <w:ind w:firstLine="360"/>
        <w:jc w:val="both"/>
      </w:pPr>
      <w:r w:rsidRPr="008900F9">
        <w:rPr>
          <w:rStyle w:val="FootnoteReference"/>
          <w:rFonts w:ascii="Cambria" w:hAnsi="Cambria" w:cs="Cambria"/>
          <w:color w:val="auto"/>
          <w:sz w:val="16"/>
          <w:szCs w:val="16"/>
        </w:rPr>
        <w:footnoteRef/>
      </w:r>
      <w:r w:rsidRPr="008900F9">
        <w:rPr>
          <w:rFonts w:ascii="Cambria" w:hAnsi="Cambria" w:cs="Cambria"/>
          <w:color w:val="auto"/>
          <w:sz w:val="16"/>
          <w:szCs w:val="16"/>
        </w:rPr>
        <w:t xml:space="preserve"> </w:t>
      </w:r>
      <w:r w:rsidRPr="008900F9">
        <w:rPr>
          <w:rFonts w:ascii="Cambria" w:hAnsi="Cambria" w:cs="Cambria"/>
          <w:color w:val="auto"/>
          <w:sz w:val="16"/>
          <w:szCs w:val="16"/>
        </w:rPr>
        <w:tab/>
        <w:t xml:space="preserve">IACHR, Report No. 72/18, Petition 1131-08, Admissibility, </w:t>
      </w:r>
      <w:proofErr w:type="spellStart"/>
      <w:r w:rsidRPr="008900F9">
        <w:rPr>
          <w:rFonts w:ascii="Cambria" w:hAnsi="Cambria" w:cs="Cambria"/>
          <w:color w:val="auto"/>
          <w:sz w:val="16"/>
          <w:szCs w:val="16"/>
        </w:rPr>
        <w:t>Moisés</w:t>
      </w:r>
      <w:proofErr w:type="spellEnd"/>
      <w:r w:rsidRPr="008900F9">
        <w:rPr>
          <w:rFonts w:ascii="Cambria" w:hAnsi="Cambria" w:cs="Cambria"/>
          <w:color w:val="auto"/>
          <w:sz w:val="16"/>
          <w:szCs w:val="16"/>
        </w:rPr>
        <w:t xml:space="preserve"> de </w:t>
      </w:r>
      <w:proofErr w:type="spellStart"/>
      <w:r w:rsidRPr="008900F9">
        <w:rPr>
          <w:rFonts w:ascii="Cambria" w:hAnsi="Cambria" w:cs="Cambria"/>
          <w:color w:val="auto"/>
          <w:sz w:val="16"/>
          <w:szCs w:val="16"/>
        </w:rPr>
        <w:t>Jesús</w:t>
      </w:r>
      <w:proofErr w:type="spellEnd"/>
      <w:r w:rsidRPr="008900F9">
        <w:rPr>
          <w:rFonts w:ascii="Cambria" w:hAnsi="Cambria" w:cs="Cambria"/>
          <w:color w:val="auto"/>
          <w:sz w:val="16"/>
          <w:szCs w:val="16"/>
        </w:rPr>
        <w:t xml:space="preserve"> Hernández Pinto and Family, Guatemala, June 20, 2018, para. 10.</w:t>
      </w:r>
    </w:p>
  </w:footnote>
  <w:footnote w:id="11">
    <w:p w:rsidR="00211832" w:rsidRDefault="00211832" w:rsidP="00BA480F">
      <w:pPr>
        <w:pStyle w:val="FootnoteText"/>
        <w:tabs>
          <w:tab w:val="left" w:pos="720"/>
        </w:tabs>
        <w:ind w:firstLine="360"/>
        <w:jc w:val="both"/>
      </w:pPr>
      <w:r w:rsidRPr="008900F9">
        <w:rPr>
          <w:rStyle w:val="FootnoteReference"/>
          <w:rFonts w:ascii="Cambria" w:hAnsi="Cambria" w:cs="Cambria"/>
          <w:sz w:val="16"/>
          <w:szCs w:val="16"/>
        </w:rPr>
        <w:footnoteRef/>
      </w:r>
      <w:r w:rsidRPr="008900F9">
        <w:rPr>
          <w:rFonts w:ascii="Cambria" w:hAnsi="Cambria" w:cs="Cambria"/>
          <w:sz w:val="16"/>
          <w:szCs w:val="16"/>
        </w:rPr>
        <w:t xml:space="preserve"> </w:t>
      </w:r>
      <w:r w:rsidRPr="008900F9">
        <w:rPr>
          <w:rFonts w:ascii="Cambria" w:hAnsi="Cambria" w:cs="Cambria"/>
          <w:sz w:val="16"/>
          <w:szCs w:val="16"/>
        </w:rPr>
        <w:tab/>
        <w:t xml:space="preserve">IACHR, Report No. 105/17, Petition 798-07, Admissibility, David </w:t>
      </w:r>
      <w:proofErr w:type="spellStart"/>
      <w:r w:rsidRPr="008900F9">
        <w:rPr>
          <w:rFonts w:ascii="Cambria" w:hAnsi="Cambria" w:cs="Cambria"/>
          <w:sz w:val="16"/>
          <w:szCs w:val="16"/>
        </w:rPr>
        <w:t>Valderrama</w:t>
      </w:r>
      <w:proofErr w:type="spellEnd"/>
      <w:r w:rsidRPr="008900F9">
        <w:rPr>
          <w:rFonts w:ascii="Cambria" w:hAnsi="Cambria" w:cs="Cambria"/>
          <w:sz w:val="16"/>
          <w:szCs w:val="16"/>
        </w:rPr>
        <w:t xml:space="preserve"> </w:t>
      </w:r>
      <w:proofErr w:type="spellStart"/>
      <w:r w:rsidRPr="008900F9">
        <w:rPr>
          <w:rFonts w:ascii="Cambria" w:hAnsi="Cambria" w:cs="Cambria"/>
          <w:sz w:val="16"/>
          <w:szCs w:val="16"/>
        </w:rPr>
        <w:t>Opazo</w:t>
      </w:r>
      <w:proofErr w:type="spellEnd"/>
      <w:r w:rsidRPr="008900F9">
        <w:rPr>
          <w:rFonts w:ascii="Cambria" w:hAnsi="Cambria" w:cs="Cambria"/>
          <w:sz w:val="16"/>
          <w:szCs w:val="16"/>
        </w:rPr>
        <w:t xml:space="preserve"> and Others, Chile, September 7, 2017, para. 11; IACHR, Report No. 78/16, Petition 1170-09, Admissibility, Amir Muniz da Silva, Brazil, December 30, 2016, para. 32.</w:t>
      </w:r>
    </w:p>
  </w:footnote>
  <w:footnote w:id="12">
    <w:p w:rsidR="00211832" w:rsidRDefault="00211832" w:rsidP="00BA480F">
      <w:pPr>
        <w:pStyle w:val="FootnoteText"/>
        <w:tabs>
          <w:tab w:val="left" w:pos="720"/>
        </w:tabs>
        <w:ind w:firstLine="360"/>
        <w:jc w:val="both"/>
      </w:pPr>
      <w:r w:rsidRPr="008900F9">
        <w:rPr>
          <w:rStyle w:val="FootnoteReference"/>
          <w:rFonts w:ascii="Cambria" w:hAnsi="Cambria" w:cs="Cambria"/>
          <w:sz w:val="16"/>
          <w:szCs w:val="16"/>
        </w:rPr>
        <w:footnoteRef/>
      </w:r>
      <w:r w:rsidRPr="008900F9">
        <w:rPr>
          <w:rFonts w:ascii="Cambria" w:hAnsi="Cambria" w:cs="Cambria"/>
          <w:sz w:val="16"/>
          <w:szCs w:val="16"/>
        </w:rPr>
        <w:t xml:space="preserve"> </w:t>
      </w:r>
      <w:r w:rsidRPr="008900F9">
        <w:rPr>
          <w:rFonts w:ascii="Cambria" w:hAnsi="Cambria" w:cs="Cambria"/>
          <w:sz w:val="16"/>
          <w:szCs w:val="16"/>
        </w:rPr>
        <w:tab/>
        <w:t xml:space="preserve">Article 12 of the Convention of </w:t>
      </w:r>
      <w:proofErr w:type="spellStart"/>
      <w:r w:rsidRPr="008900F9">
        <w:rPr>
          <w:rFonts w:ascii="Cambria" w:hAnsi="Cambria" w:cs="Cambria"/>
          <w:sz w:val="16"/>
          <w:szCs w:val="16"/>
        </w:rPr>
        <w:t>Belém</w:t>
      </w:r>
      <w:proofErr w:type="spellEnd"/>
      <w:r w:rsidRPr="008900F9">
        <w:rPr>
          <w:rFonts w:ascii="Cambria" w:hAnsi="Cambria" w:cs="Cambria"/>
          <w:sz w:val="16"/>
          <w:szCs w:val="16"/>
        </w:rPr>
        <w:t xml:space="preserve"> do </w:t>
      </w:r>
      <w:proofErr w:type="spellStart"/>
      <w:r w:rsidRPr="008900F9">
        <w:rPr>
          <w:rFonts w:ascii="Cambria" w:hAnsi="Cambria" w:cs="Cambria"/>
          <w:sz w:val="16"/>
          <w:szCs w:val="16"/>
        </w:rPr>
        <w:t>Pará</w:t>
      </w:r>
      <w:proofErr w:type="spellEnd"/>
      <w:r w:rsidRPr="008900F9">
        <w:rPr>
          <w:rFonts w:ascii="Cambria" w:hAnsi="Cambria" w:cs="Cambria"/>
          <w:sz w:val="16"/>
          <w:szCs w:val="16"/>
        </w:rPr>
        <w:t xml:space="preserve"> provides: “Any person or group of persons, or any nongovernmental entity legally recognized in one or more member states of the Organization, may lodge petitions with the Inter-American Commission on Human Rights containing denunciations or complaints of violations of Article 7 of this Convention by a State Party, and the Commission shall consider such claims in accordance with the norms and procedures established by the American Convention on Human Rights and the Statutes and Regulations of the Inter-American Commission on Human Rights for lodging and considering petitions.”</w:t>
      </w:r>
    </w:p>
  </w:footnote>
  <w:footnote w:id="13">
    <w:p w:rsidR="00211832" w:rsidRDefault="00211832" w:rsidP="00BA480F">
      <w:pPr>
        <w:pStyle w:val="FootnoteText"/>
        <w:tabs>
          <w:tab w:val="left" w:pos="720"/>
        </w:tabs>
        <w:ind w:firstLine="360"/>
        <w:jc w:val="both"/>
      </w:pPr>
      <w:r w:rsidRPr="008900F9">
        <w:rPr>
          <w:rStyle w:val="FootnoteReference"/>
          <w:rFonts w:ascii="Cambria" w:hAnsi="Cambria" w:cs="Cambria"/>
          <w:sz w:val="16"/>
          <w:szCs w:val="16"/>
        </w:rPr>
        <w:footnoteRef/>
      </w:r>
      <w:r w:rsidRPr="008900F9">
        <w:rPr>
          <w:rFonts w:ascii="Cambria" w:hAnsi="Cambria" w:cs="Cambria"/>
          <w:sz w:val="16"/>
          <w:szCs w:val="16"/>
        </w:rPr>
        <w:tab/>
        <w:t xml:space="preserve">IACHR, Report No. 174/17, Petition 831-11, Admissibility, Hester Suzanne Van </w:t>
      </w:r>
      <w:proofErr w:type="spellStart"/>
      <w:r w:rsidRPr="008900F9">
        <w:rPr>
          <w:rFonts w:ascii="Cambria" w:hAnsi="Cambria" w:cs="Cambria"/>
          <w:sz w:val="16"/>
          <w:szCs w:val="16"/>
        </w:rPr>
        <w:t>Nierop</w:t>
      </w:r>
      <w:proofErr w:type="spellEnd"/>
      <w:r w:rsidRPr="008900F9">
        <w:rPr>
          <w:rFonts w:ascii="Cambria" w:hAnsi="Cambria" w:cs="Cambria"/>
          <w:sz w:val="16"/>
          <w:szCs w:val="16"/>
        </w:rPr>
        <w:t xml:space="preserve"> and </w:t>
      </w:r>
      <w:r>
        <w:rPr>
          <w:rFonts w:ascii="Cambria" w:hAnsi="Cambria" w:cs="Cambria"/>
          <w:sz w:val="16"/>
          <w:szCs w:val="16"/>
        </w:rPr>
        <w:t>F</w:t>
      </w:r>
      <w:r w:rsidRPr="008900F9">
        <w:rPr>
          <w:rFonts w:ascii="Cambria" w:hAnsi="Cambria" w:cs="Cambria"/>
          <w:sz w:val="16"/>
          <w:szCs w:val="16"/>
        </w:rPr>
        <w:t xml:space="preserve">amily, Mexico, December 30, 2017, para. 11.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110A" w:rsidRDefault="00D2110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1832" w:rsidRPr="00942FFB" w:rsidRDefault="00211832" w:rsidP="00A50FCF">
    <w:pPr>
      <w:pStyle w:val="Header"/>
      <w:tabs>
        <w:tab w:val="clear" w:pos="4320"/>
        <w:tab w:val="clear" w:pos="8640"/>
      </w:tabs>
      <w:jc w:val="center"/>
      <w:rPr>
        <w:rFonts w:cs="Times New Roman"/>
        <w:noProof/>
        <w:sz w:val="22"/>
        <w:szCs w:val="22"/>
      </w:rPr>
    </w:pPr>
  </w:p>
  <w:p w:rsidR="00211832" w:rsidRPr="00942FFB" w:rsidRDefault="003C5BED" w:rsidP="00A50FCF">
    <w:pPr>
      <w:pStyle w:val="Header"/>
      <w:tabs>
        <w:tab w:val="clear" w:pos="4320"/>
        <w:tab w:val="clear" w:pos="8640"/>
      </w:tabs>
      <w:jc w:val="center"/>
      <w:rPr>
        <w:rFonts w:cs="Times New Roman"/>
        <w:noProof/>
        <w:sz w:val="22"/>
        <w:szCs w:val="22"/>
      </w:rPr>
    </w:pPr>
    <w:r>
      <w:rPr>
        <w:rFonts w:cs="Times New Roman"/>
        <w:noProof/>
        <w:sz w:val="22"/>
        <w:szCs w:val="22"/>
      </w:rPr>
      <w:pict>
        <v:rect id="_x0000_i1025" alt="" style="width:.15pt;height:.05pt;mso-width-percent:0;mso-height-percent:0;mso-width-percent:0;mso-height-percent:0" o:hrpct="1"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110A" w:rsidRDefault="00D2110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1832" w:rsidRPr="00942FFB" w:rsidRDefault="00DF654E" w:rsidP="00A50FCF">
    <w:pPr>
      <w:pStyle w:val="Header"/>
      <w:tabs>
        <w:tab w:val="clear" w:pos="4320"/>
        <w:tab w:val="clear" w:pos="8640"/>
      </w:tabs>
      <w:jc w:val="center"/>
      <w:rPr>
        <w:rFonts w:cs="Times New Roman"/>
        <w:noProof/>
        <w:sz w:val="22"/>
        <w:szCs w:val="22"/>
      </w:rPr>
    </w:pPr>
    <w:r>
      <w:rPr>
        <w:rFonts w:cs="Times New Roman"/>
        <w:noProof/>
        <w:sz w:val="22"/>
        <w:szCs w:val="22"/>
      </w:rPr>
      <w:drawing>
        <wp:inline distT="0" distB="0" distL="0" distR="0">
          <wp:extent cx="2131060" cy="111125"/>
          <wp:effectExtent l="0" t="0" r="0" b="0"/>
          <wp:docPr id="11" name="Pictur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1060" cy="111125"/>
                  </a:xfrm>
                  <a:prstGeom prst="rect">
                    <a:avLst/>
                  </a:prstGeom>
                  <a:noFill/>
                  <a:ln>
                    <a:noFill/>
                  </a:ln>
                </pic:spPr>
              </pic:pic>
            </a:graphicData>
          </a:graphic>
        </wp:inline>
      </w:drawing>
    </w:r>
  </w:p>
  <w:p w:rsidR="00211832" w:rsidRPr="00942FFB" w:rsidRDefault="003C5BED" w:rsidP="00A50FCF">
    <w:pPr>
      <w:pStyle w:val="Header"/>
      <w:tabs>
        <w:tab w:val="clear" w:pos="4320"/>
        <w:tab w:val="clear" w:pos="8640"/>
      </w:tabs>
      <w:jc w:val="center"/>
      <w:rPr>
        <w:rFonts w:cs="Times New Roman"/>
        <w:noProof/>
        <w:sz w:val="22"/>
        <w:szCs w:val="22"/>
      </w:rPr>
    </w:pPr>
    <w:r>
      <w:rPr>
        <w:rFonts w:cs="Times New Roman"/>
        <w:noProof/>
        <w:sz w:val="22"/>
        <w:szCs w:val="22"/>
      </w:rPr>
      <w:pict>
        <v:rect id="_x0000_i1026"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Times New Roman" w:hAnsi="Calibri"/>
        <w:b/>
        <w:bCs/>
        <w:color w:val="000000"/>
        <w:position w:val="0"/>
        <w:sz w:val="22"/>
        <w:szCs w:val="22"/>
        <w:u w:val="single"/>
      </w:rPr>
    </w:lvl>
    <w:lvl w:ilvl="1">
      <w:start w:val="1"/>
      <w:numFmt w:val="decimal"/>
      <w:lvlText w:val="%1.%2."/>
      <w:lvlJc w:val="left"/>
      <w:pPr>
        <w:tabs>
          <w:tab w:val="num" w:pos="720"/>
        </w:tabs>
        <w:ind w:left="720" w:hanging="360"/>
      </w:pPr>
      <w:rPr>
        <w:rFonts w:ascii="Trebuchet MS" w:eastAsia="Times New Roman" w:hAnsi="Trebuchet MS"/>
        <w:b/>
        <w:bCs/>
        <w:color w:val="000000"/>
        <w:position w:val="0"/>
        <w:sz w:val="22"/>
        <w:szCs w:val="22"/>
        <w:u w:val="single"/>
      </w:rPr>
    </w:lvl>
    <w:lvl w:ilvl="2">
      <w:start w:val="1"/>
      <w:numFmt w:val="decimal"/>
      <w:lvlText w:val="%1.%2.%3."/>
      <w:lvlJc w:val="left"/>
      <w:pPr>
        <w:tabs>
          <w:tab w:val="num" w:pos="1020"/>
        </w:tabs>
        <w:ind w:left="1020" w:hanging="660"/>
      </w:pPr>
      <w:rPr>
        <w:rFonts w:ascii="Calibri" w:eastAsia="Times New Roman" w:hAnsi="Calibri"/>
        <w:b/>
        <w:bCs/>
        <w:color w:val="000000"/>
        <w:position w:val="0"/>
        <w:sz w:val="22"/>
        <w:szCs w:val="22"/>
        <w:u w:val="single"/>
      </w:rPr>
    </w:lvl>
    <w:lvl w:ilvl="3">
      <w:start w:val="1"/>
      <w:numFmt w:val="decimal"/>
      <w:lvlText w:val="%1.%2.%3.%4."/>
      <w:lvlJc w:val="left"/>
      <w:pPr>
        <w:tabs>
          <w:tab w:val="num" w:pos="1020"/>
        </w:tabs>
        <w:ind w:left="1020" w:hanging="660"/>
      </w:pPr>
      <w:rPr>
        <w:rFonts w:ascii="Calibri" w:eastAsia="Times New Roman" w:hAnsi="Calibri"/>
        <w:b/>
        <w:bCs/>
        <w:color w:val="000000"/>
        <w:position w:val="0"/>
        <w:sz w:val="22"/>
        <w:szCs w:val="22"/>
        <w:u w:val="single"/>
      </w:rPr>
    </w:lvl>
    <w:lvl w:ilvl="4">
      <w:start w:val="1"/>
      <w:numFmt w:val="decimal"/>
      <w:lvlText w:val="%1.%2.%3.%4.%5."/>
      <w:lvlJc w:val="left"/>
      <w:pPr>
        <w:tabs>
          <w:tab w:val="num" w:pos="1350"/>
        </w:tabs>
        <w:ind w:left="1350" w:hanging="990"/>
      </w:pPr>
      <w:rPr>
        <w:rFonts w:ascii="Calibri" w:eastAsia="Times New Roman" w:hAnsi="Calibri"/>
        <w:b/>
        <w:bCs/>
        <w:color w:val="000000"/>
        <w:position w:val="0"/>
        <w:sz w:val="22"/>
        <w:szCs w:val="22"/>
        <w:u w:val="single"/>
      </w:rPr>
    </w:lvl>
    <w:lvl w:ilvl="5">
      <w:start w:val="1"/>
      <w:numFmt w:val="decimal"/>
      <w:lvlText w:val="%1.%2.%3.%4.%5.%6."/>
      <w:lvlJc w:val="left"/>
      <w:pPr>
        <w:tabs>
          <w:tab w:val="num" w:pos="1350"/>
        </w:tabs>
        <w:ind w:left="1350" w:hanging="990"/>
      </w:pPr>
      <w:rPr>
        <w:rFonts w:ascii="Calibri" w:eastAsia="Times New Roman" w:hAnsi="Calibri"/>
        <w:b/>
        <w:bCs/>
        <w:color w:val="000000"/>
        <w:position w:val="0"/>
        <w:sz w:val="22"/>
        <w:szCs w:val="22"/>
        <w:u w:val="single"/>
      </w:rPr>
    </w:lvl>
    <w:lvl w:ilvl="6">
      <w:start w:val="1"/>
      <w:numFmt w:val="decimal"/>
      <w:lvlText w:val="%1.%2.%3.%4.%5.%6.%7."/>
      <w:lvlJc w:val="left"/>
      <w:pPr>
        <w:tabs>
          <w:tab w:val="num" w:pos="1680"/>
        </w:tabs>
        <w:ind w:left="1680" w:hanging="1320"/>
      </w:pPr>
      <w:rPr>
        <w:rFonts w:ascii="Calibri" w:eastAsia="Times New Roman" w:hAnsi="Calibri"/>
        <w:b/>
        <w:bCs/>
        <w:color w:val="000000"/>
        <w:position w:val="0"/>
        <w:sz w:val="22"/>
        <w:szCs w:val="22"/>
        <w:u w:val="single"/>
      </w:rPr>
    </w:lvl>
    <w:lvl w:ilvl="7">
      <w:start w:val="1"/>
      <w:numFmt w:val="decimal"/>
      <w:lvlText w:val="%1.%2.%3.%4.%5.%6.%7.%8."/>
      <w:lvlJc w:val="left"/>
      <w:pPr>
        <w:tabs>
          <w:tab w:val="num" w:pos="1680"/>
        </w:tabs>
        <w:ind w:left="1680" w:hanging="1320"/>
      </w:pPr>
      <w:rPr>
        <w:rFonts w:ascii="Calibri" w:eastAsia="Times New Roman" w:hAnsi="Calibri"/>
        <w:b/>
        <w:bCs/>
        <w:color w:val="000000"/>
        <w:position w:val="0"/>
        <w:sz w:val="22"/>
        <w:szCs w:val="22"/>
        <w:u w:val="single"/>
      </w:rPr>
    </w:lvl>
    <w:lvl w:ilvl="8">
      <w:start w:val="1"/>
      <w:numFmt w:val="decimal"/>
      <w:lvlText w:val="%1.%2.%3.%4.%5.%6.%7.%8.%9."/>
      <w:lvlJc w:val="left"/>
      <w:pPr>
        <w:tabs>
          <w:tab w:val="num" w:pos="2010"/>
        </w:tabs>
        <w:ind w:left="2010" w:hanging="1650"/>
      </w:pPr>
      <w:rPr>
        <w:rFonts w:ascii="Calibri" w:eastAsia="Times New Roman" w:hAnsi="Calibri"/>
        <w:b/>
        <w:bCs/>
        <w:color w:val="000000"/>
        <w:position w:val="0"/>
        <w:sz w:val="22"/>
        <w:szCs w:val="22"/>
        <w:u w:val="single"/>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imes New Roman" w:hAnsi="Trebuchet M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imes New Roman" w:hAnsi="Trebuchet M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imes New Roman" w:hAnsi="Trebuchet MS"/>
        <w:color w:val="000000"/>
        <w:position w:val="0"/>
        <w:sz w:val="24"/>
        <w:szCs w:val="24"/>
      </w:rPr>
    </w:lvl>
    <w:lvl w:ilvl="1">
      <w:start w:val="1"/>
      <w:numFmt w:val="bullet"/>
      <w:lvlText w:val="o"/>
      <w:lvlJc w:val="left"/>
      <w:pPr>
        <w:tabs>
          <w:tab w:val="num" w:pos="1410"/>
        </w:tabs>
        <w:ind w:left="1410" w:hanging="330"/>
      </w:pPr>
      <w:rPr>
        <w:rFonts w:ascii="Calibri" w:eastAsia="Times New Roman" w:hAnsi="Calibri"/>
        <w:color w:val="000000"/>
        <w:position w:val="0"/>
        <w:sz w:val="22"/>
        <w:szCs w:val="22"/>
      </w:rPr>
    </w:lvl>
    <w:lvl w:ilvl="2">
      <w:start w:val="1"/>
      <w:numFmt w:val="bullet"/>
      <w:lvlText w:val="▪"/>
      <w:lvlJc w:val="left"/>
      <w:pPr>
        <w:tabs>
          <w:tab w:val="num" w:pos="2130"/>
        </w:tabs>
        <w:ind w:left="2130" w:hanging="330"/>
      </w:pPr>
      <w:rPr>
        <w:rFonts w:ascii="Calibri" w:eastAsia="Times New Roman" w:hAnsi="Calibri"/>
        <w:color w:val="000000"/>
        <w:position w:val="0"/>
        <w:sz w:val="22"/>
        <w:szCs w:val="22"/>
      </w:rPr>
    </w:lvl>
    <w:lvl w:ilvl="3">
      <w:start w:val="1"/>
      <w:numFmt w:val="bullet"/>
      <w:lvlText w:val="•"/>
      <w:lvlJc w:val="left"/>
      <w:pPr>
        <w:tabs>
          <w:tab w:val="num" w:pos="2850"/>
        </w:tabs>
        <w:ind w:left="2850" w:hanging="330"/>
      </w:pPr>
      <w:rPr>
        <w:rFonts w:ascii="Calibri" w:eastAsia="Times New Roman" w:hAnsi="Calibri"/>
        <w:color w:val="000000"/>
        <w:position w:val="0"/>
        <w:sz w:val="22"/>
        <w:szCs w:val="22"/>
      </w:rPr>
    </w:lvl>
    <w:lvl w:ilvl="4">
      <w:start w:val="1"/>
      <w:numFmt w:val="bullet"/>
      <w:lvlText w:val="o"/>
      <w:lvlJc w:val="left"/>
      <w:pPr>
        <w:tabs>
          <w:tab w:val="num" w:pos="3570"/>
        </w:tabs>
        <w:ind w:left="3570" w:hanging="330"/>
      </w:pPr>
      <w:rPr>
        <w:rFonts w:ascii="Calibri" w:eastAsia="Times New Roman" w:hAnsi="Calibri"/>
        <w:color w:val="000000"/>
        <w:position w:val="0"/>
        <w:sz w:val="22"/>
        <w:szCs w:val="22"/>
      </w:rPr>
    </w:lvl>
    <w:lvl w:ilvl="5">
      <w:start w:val="1"/>
      <w:numFmt w:val="bullet"/>
      <w:lvlText w:val="▪"/>
      <w:lvlJc w:val="left"/>
      <w:pPr>
        <w:tabs>
          <w:tab w:val="num" w:pos="4290"/>
        </w:tabs>
        <w:ind w:left="4290" w:hanging="330"/>
      </w:pPr>
      <w:rPr>
        <w:rFonts w:ascii="Calibri" w:eastAsia="Times New Roman" w:hAnsi="Calibri"/>
        <w:color w:val="000000"/>
        <w:position w:val="0"/>
        <w:sz w:val="22"/>
        <w:szCs w:val="22"/>
      </w:rPr>
    </w:lvl>
    <w:lvl w:ilvl="6">
      <w:start w:val="1"/>
      <w:numFmt w:val="bullet"/>
      <w:lvlText w:val="•"/>
      <w:lvlJc w:val="left"/>
      <w:pPr>
        <w:tabs>
          <w:tab w:val="num" w:pos="5010"/>
        </w:tabs>
        <w:ind w:left="5010" w:hanging="330"/>
      </w:pPr>
      <w:rPr>
        <w:rFonts w:ascii="Calibri" w:eastAsia="Times New Roman" w:hAnsi="Calibri"/>
        <w:color w:val="000000"/>
        <w:position w:val="0"/>
        <w:sz w:val="22"/>
        <w:szCs w:val="22"/>
      </w:rPr>
    </w:lvl>
    <w:lvl w:ilvl="7">
      <w:start w:val="1"/>
      <w:numFmt w:val="bullet"/>
      <w:lvlText w:val="o"/>
      <w:lvlJc w:val="left"/>
      <w:pPr>
        <w:tabs>
          <w:tab w:val="num" w:pos="5730"/>
        </w:tabs>
        <w:ind w:left="5730" w:hanging="330"/>
      </w:pPr>
      <w:rPr>
        <w:rFonts w:ascii="Calibri" w:eastAsia="Times New Roman" w:hAnsi="Calibri"/>
        <w:color w:val="000000"/>
        <w:position w:val="0"/>
        <w:sz w:val="22"/>
        <w:szCs w:val="22"/>
      </w:rPr>
    </w:lvl>
    <w:lvl w:ilvl="8">
      <w:start w:val="1"/>
      <w:numFmt w:val="bullet"/>
      <w:lvlText w:val="▪"/>
      <w:lvlJc w:val="left"/>
      <w:pPr>
        <w:tabs>
          <w:tab w:val="num" w:pos="6450"/>
        </w:tabs>
        <w:ind w:left="6450" w:hanging="330"/>
      </w:pPr>
      <w:rPr>
        <w:rFonts w:ascii="Calibri" w:eastAsia="Times New Roman" w:hAnsi="Calibri"/>
        <w:color w:val="000000"/>
        <w:position w:val="0"/>
        <w:sz w:val="22"/>
        <w:szCs w:val="22"/>
      </w:rPr>
    </w:lvl>
  </w:abstractNum>
  <w:abstractNum w:abstractNumId="4" w15:restartNumberingAfterBreak="0">
    <w:nsid w:val="0E1D2261"/>
    <w:multiLevelType w:val="hybridMultilevel"/>
    <w:tmpl w:val="29389DA2"/>
    <w:lvl w:ilvl="0" w:tplc="FC4A3F02">
      <w:start w:val="1"/>
      <w:numFmt w:val="decimal"/>
      <w:lvlText w:val="%1."/>
      <w:lvlJc w:val="left"/>
      <w:pPr>
        <w:tabs>
          <w:tab w:val="num" w:pos="720"/>
        </w:tabs>
        <w:ind w:firstLine="720"/>
      </w:pPr>
      <w:rPr>
        <w:rFonts w:hint="default"/>
        <w:b w:val="0"/>
        <w:bCs w:val="0"/>
        <w:vanish w:val="0"/>
        <w:color w:val="auto"/>
      </w:rPr>
    </w:lvl>
    <w:lvl w:ilvl="1" w:tplc="4F28100A">
      <w:start w:val="1"/>
      <w:numFmt w:val="lowerLetter"/>
      <w:lvlText w:val="%2."/>
      <w:lvlJc w:val="left"/>
      <w:pPr>
        <w:tabs>
          <w:tab w:val="num" w:pos="1440"/>
        </w:tabs>
        <w:ind w:left="1440" w:hanging="360"/>
      </w:pPr>
    </w:lvl>
    <w:lvl w:ilvl="2" w:tplc="98DA6C88">
      <w:start w:val="1"/>
      <w:numFmt w:val="lowerRoman"/>
      <w:lvlText w:val="%3."/>
      <w:lvlJc w:val="right"/>
      <w:pPr>
        <w:tabs>
          <w:tab w:val="num" w:pos="2160"/>
        </w:tabs>
        <w:ind w:left="2160" w:hanging="180"/>
      </w:pPr>
    </w:lvl>
    <w:lvl w:ilvl="3" w:tplc="01EABC42">
      <w:start w:val="1"/>
      <w:numFmt w:val="decimal"/>
      <w:lvlText w:val="%4."/>
      <w:lvlJc w:val="left"/>
      <w:pPr>
        <w:tabs>
          <w:tab w:val="num" w:pos="2880"/>
        </w:tabs>
        <w:ind w:left="2880" w:hanging="360"/>
      </w:pPr>
    </w:lvl>
    <w:lvl w:ilvl="4" w:tplc="A21818EA">
      <w:start w:val="1"/>
      <w:numFmt w:val="lowerLetter"/>
      <w:lvlText w:val="%5."/>
      <w:lvlJc w:val="left"/>
      <w:pPr>
        <w:tabs>
          <w:tab w:val="num" w:pos="3600"/>
        </w:tabs>
        <w:ind w:left="3600" w:hanging="360"/>
      </w:pPr>
    </w:lvl>
    <w:lvl w:ilvl="5" w:tplc="454E1098">
      <w:start w:val="1"/>
      <w:numFmt w:val="lowerRoman"/>
      <w:lvlText w:val="%6."/>
      <w:lvlJc w:val="right"/>
      <w:pPr>
        <w:tabs>
          <w:tab w:val="num" w:pos="4320"/>
        </w:tabs>
        <w:ind w:left="4320" w:hanging="180"/>
      </w:pPr>
    </w:lvl>
    <w:lvl w:ilvl="6" w:tplc="186C5E0A">
      <w:start w:val="1"/>
      <w:numFmt w:val="decimal"/>
      <w:lvlText w:val="%7."/>
      <w:lvlJc w:val="left"/>
      <w:pPr>
        <w:tabs>
          <w:tab w:val="num" w:pos="5040"/>
        </w:tabs>
        <w:ind w:left="5040" w:hanging="360"/>
      </w:pPr>
    </w:lvl>
    <w:lvl w:ilvl="7" w:tplc="21E0FB74">
      <w:start w:val="1"/>
      <w:numFmt w:val="lowerLetter"/>
      <w:lvlText w:val="%8."/>
      <w:lvlJc w:val="left"/>
      <w:pPr>
        <w:tabs>
          <w:tab w:val="num" w:pos="5760"/>
        </w:tabs>
        <w:ind w:left="5760" w:hanging="360"/>
      </w:pPr>
    </w:lvl>
    <w:lvl w:ilvl="8" w:tplc="583EAA40">
      <w:start w:val="1"/>
      <w:numFmt w:val="lowerRoman"/>
      <w:lvlText w:val="%9."/>
      <w:lvlJc w:val="right"/>
      <w:pPr>
        <w:tabs>
          <w:tab w:val="num" w:pos="6480"/>
        </w:tabs>
        <w:ind w:left="6480" w:hanging="180"/>
      </w:pPr>
    </w:lvl>
  </w:abstractNum>
  <w:abstractNum w:abstractNumId="5"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Times New Roman" w:hAnsi="Calibri"/>
        <w:color w:val="000000"/>
        <w:position w:val="0"/>
        <w:sz w:val="22"/>
        <w:szCs w:val="22"/>
      </w:rPr>
    </w:lvl>
    <w:lvl w:ilvl="1">
      <w:start w:val="1"/>
      <w:numFmt w:val="lowerLetter"/>
      <w:lvlText w:val="%2."/>
      <w:lvlJc w:val="left"/>
      <w:pPr>
        <w:tabs>
          <w:tab w:val="num" w:pos="1440"/>
        </w:tabs>
        <w:ind w:left="1440" w:hanging="360"/>
      </w:pPr>
      <w:rPr>
        <w:rFonts w:ascii="Trebuchet MS" w:eastAsia="Times New Roman" w:hAnsi="Trebuchet MS"/>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690"/>
        </w:tabs>
        <w:ind w:left="69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6"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imes New Roman" w:hAnsi="Trebuchet MS"/>
        <w:b/>
        <w:bCs/>
        <w:color w:val="000000"/>
        <w:position w:val="0"/>
        <w:sz w:val="22"/>
        <w:szCs w:val="22"/>
      </w:rPr>
    </w:lvl>
    <w:lvl w:ilvl="1">
      <w:start w:val="1"/>
      <w:numFmt w:val="decimal"/>
      <w:lvlText w:val="%1.%2."/>
      <w:lvlJc w:val="left"/>
      <w:pPr>
        <w:tabs>
          <w:tab w:val="num" w:pos="690"/>
        </w:tabs>
        <w:ind w:left="690" w:hanging="330"/>
      </w:pPr>
      <w:rPr>
        <w:rFonts w:ascii="Calibri" w:eastAsia="Times New Roman" w:hAnsi="Calibri"/>
        <w:b/>
        <w:bCs/>
        <w:color w:val="000000"/>
        <w:position w:val="0"/>
        <w:sz w:val="22"/>
        <w:szCs w:val="22"/>
      </w:rPr>
    </w:lvl>
    <w:lvl w:ilvl="2">
      <w:start w:val="1"/>
      <w:numFmt w:val="decimal"/>
      <w:lvlText w:val="%1.%2.%3."/>
      <w:lvlJc w:val="left"/>
      <w:pPr>
        <w:tabs>
          <w:tab w:val="num" w:pos="1020"/>
        </w:tabs>
        <w:ind w:left="1020" w:hanging="660"/>
      </w:pPr>
      <w:rPr>
        <w:rFonts w:ascii="Calibri" w:eastAsia="Times New Roman" w:hAnsi="Calibri"/>
        <w:b/>
        <w:bCs/>
        <w:color w:val="000000"/>
        <w:position w:val="0"/>
        <w:sz w:val="22"/>
        <w:szCs w:val="22"/>
      </w:rPr>
    </w:lvl>
    <w:lvl w:ilvl="3">
      <w:start w:val="1"/>
      <w:numFmt w:val="decimal"/>
      <w:lvlText w:val="%1.%2.%3.%4."/>
      <w:lvlJc w:val="left"/>
      <w:pPr>
        <w:tabs>
          <w:tab w:val="num" w:pos="1020"/>
        </w:tabs>
        <w:ind w:left="1020" w:hanging="660"/>
      </w:pPr>
      <w:rPr>
        <w:rFonts w:ascii="Calibri" w:eastAsia="Times New Roman" w:hAnsi="Calibri"/>
        <w:b/>
        <w:bCs/>
        <w:color w:val="000000"/>
        <w:position w:val="0"/>
        <w:sz w:val="22"/>
        <w:szCs w:val="22"/>
      </w:rPr>
    </w:lvl>
    <w:lvl w:ilvl="4">
      <w:start w:val="1"/>
      <w:numFmt w:val="decimal"/>
      <w:lvlText w:val="%1.%2.%3.%4.%5."/>
      <w:lvlJc w:val="left"/>
      <w:pPr>
        <w:tabs>
          <w:tab w:val="num" w:pos="1350"/>
        </w:tabs>
        <w:ind w:left="1350" w:hanging="990"/>
      </w:pPr>
      <w:rPr>
        <w:rFonts w:ascii="Calibri" w:eastAsia="Times New Roman" w:hAnsi="Calibri"/>
        <w:b/>
        <w:bCs/>
        <w:color w:val="000000"/>
        <w:position w:val="0"/>
        <w:sz w:val="22"/>
        <w:szCs w:val="22"/>
      </w:rPr>
    </w:lvl>
    <w:lvl w:ilvl="5">
      <w:start w:val="1"/>
      <w:numFmt w:val="decimal"/>
      <w:lvlText w:val="%1.%2.%3.%4.%5.%6."/>
      <w:lvlJc w:val="left"/>
      <w:pPr>
        <w:tabs>
          <w:tab w:val="num" w:pos="1350"/>
        </w:tabs>
        <w:ind w:left="1350" w:hanging="990"/>
      </w:pPr>
      <w:rPr>
        <w:rFonts w:ascii="Calibri" w:eastAsia="Times New Roman" w:hAnsi="Calibri"/>
        <w:b/>
        <w:bCs/>
        <w:color w:val="000000"/>
        <w:position w:val="0"/>
        <w:sz w:val="22"/>
        <w:szCs w:val="22"/>
      </w:rPr>
    </w:lvl>
    <w:lvl w:ilvl="6">
      <w:start w:val="1"/>
      <w:numFmt w:val="decimal"/>
      <w:lvlText w:val="%1.%2.%3.%4.%5.%6.%7."/>
      <w:lvlJc w:val="left"/>
      <w:pPr>
        <w:tabs>
          <w:tab w:val="num" w:pos="1680"/>
        </w:tabs>
        <w:ind w:left="1680" w:hanging="1320"/>
      </w:pPr>
      <w:rPr>
        <w:rFonts w:ascii="Calibri" w:eastAsia="Times New Roman" w:hAnsi="Calibri"/>
        <w:b/>
        <w:bCs/>
        <w:color w:val="000000"/>
        <w:position w:val="0"/>
        <w:sz w:val="22"/>
        <w:szCs w:val="22"/>
      </w:rPr>
    </w:lvl>
    <w:lvl w:ilvl="7">
      <w:start w:val="1"/>
      <w:numFmt w:val="decimal"/>
      <w:lvlText w:val="%1.%2.%3.%4.%5.%6.%7.%8."/>
      <w:lvlJc w:val="left"/>
      <w:pPr>
        <w:tabs>
          <w:tab w:val="num" w:pos="1680"/>
        </w:tabs>
        <w:ind w:left="1680" w:hanging="1320"/>
      </w:pPr>
      <w:rPr>
        <w:rFonts w:ascii="Calibri" w:eastAsia="Times New Roman" w:hAnsi="Calibri"/>
        <w:b/>
        <w:bCs/>
        <w:color w:val="000000"/>
        <w:position w:val="0"/>
        <w:sz w:val="22"/>
        <w:szCs w:val="22"/>
      </w:rPr>
    </w:lvl>
    <w:lvl w:ilvl="8">
      <w:start w:val="1"/>
      <w:numFmt w:val="decimal"/>
      <w:lvlText w:val="%1.%2.%3.%4.%5.%6.%7.%8.%9."/>
      <w:lvlJc w:val="left"/>
      <w:pPr>
        <w:tabs>
          <w:tab w:val="num" w:pos="2010"/>
        </w:tabs>
        <w:ind w:left="2010" w:hanging="1650"/>
      </w:pPr>
      <w:rPr>
        <w:rFonts w:ascii="Calibri" w:eastAsia="Times New Roman" w:hAnsi="Calibri"/>
        <w:b/>
        <w:bCs/>
        <w:color w:val="000000"/>
        <w:position w:val="0"/>
        <w:sz w:val="22"/>
        <w:szCs w:val="22"/>
      </w:rPr>
    </w:lvl>
  </w:abstractNum>
  <w:abstractNum w:abstractNumId="7"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imes New Roman" w:hAnsi="Trebuchet M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8"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imes New Roman" w:hAnsi="Trebuchet M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9"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imes New Roman" w:hAnsi="Trebuchet MS"/>
        <w:b/>
        <w:bC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b/>
        <w:bCs/>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b/>
        <w:bCs/>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b/>
        <w:bCs/>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b/>
        <w:bCs/>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b/>
        <w:bCs/>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b/>
        <w:bCs/>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b/>
        <w:bCs/>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b/>
        <w:bCs/>
        <w:color w:val="000000"/>
        <w:position w:val="0"/>
        <w:sz w:val="22"/>
        <w:szCs w:val="22"/>
      </w:rPr>
    </w:lvl>
  </w:abstractNum>
  <w:abstractNum w:abstractNumId="10"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imes New Roman" w:hAnsi="Trebuchet M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11"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imes New Roman" w:hAnsi="Trebuchet M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12"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imes New Roman" w:hAnsi="Trebuchet MS"/>
        <w:b/>
        <w:bC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b/>
        <w:bCs/>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b/>
        <w:bCs/>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b/>
        <w:bCs/>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b/>
        <w:bCs/>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b/>
        <w:bCs/>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b/>
        <w:bCs/>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b/>
        <w:bCs/>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b/>
        <w:bCs/>
        <w:color w:val="000000"/>
        <w:position w:val="0"/>
        <w:sz w:val="22"/>
        <w:szCs w:val="22"/>
      </w:rPr>
    </w:lvl>
  </w:abstractNum>
  <w:abstractNum w:abstractNumId="13"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imes New Roman" w:hAnsi="Trebuchet M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14"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imes New Roman" w:hAnsi="Trebuchet M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15"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imes New Roman" w:hAnsi="Trebuchet M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16"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imes New Roman" w:hAnsi="Trebuchet M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17"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imes New Roman" w:hAnsi="Trebuchet M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18"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imes New Roman" w:hAnsi="Trebuchet MS"/>
        <w:b/>
        <w:bC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b/>
        <w:bCs/>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b/>
        <w:bCs/>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b/>
        <w:bCs/>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b/>
        <w:bCs/>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b/>
        <w:bCs/>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b/>
        <w:bCs/>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b/>
        <w:bCs/>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b/>
        <w:bCs/>
        <w:color w:val="000000"/>
        <w:position w:val="0"/>
        <w:sz w:val="22"/>
        <w:szCs w:val="22"/>
      </w:rPr>
    </w:lvl>
  </w:abstractNum>
  <w:abstractNum w:abstractNumId="19"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imes New Roman" w:hAnsi="Trebuchet M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20"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Times New Roman" w:hAnsi="Calibri"/>
        <w:color w:val="000000"/>
        <w:position w:val="0"/>
        <w:sz w:val="22"/>
        <w:szCs w:val="22"/>
      </w:rPr>
    </w:lvl>
    <w:lvl w:ilvl="1">
      <w:start w:val="1"/>
      <w:numFmt w:val="lowerLetter"/>
      <w:lvlText w:val="%2."/>
      <w:lvlJc w:val="left"/>
      <w:pPr>
        <w:tabs>
          <w:tab w:val="num" w:pos="1440"/>
        </w:tabs>
        <w:ind w:left="1440" w:hanging="360"/>
      </w:pPr>
      <w:rPr>
        <w:rFonts w:ascii="Trebuchet MS" w:eastAsia="Times New Roman" w:hAnsi="Trebuchet MS"/>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21"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imes New Roman" w:hAnsi="Trebuchet M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22"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imes New Roman" w:hAnsi="Trebuchet M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23"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imes New Roman" w:hAnsi="Trebuchet MS"/>
        <w:color w:val="000000"/>
        <w:position w:val="0"/>
        <w:sz w:val="24"/>
        <w:szCs w:val="24"/>
      </w:rPr>
    </w:lvl>
    <w:lvl w:ilvl="1">
      <w:start w:val="1"/>
      <w:numFmt w:val="bullet"/>
      <w:lvlText w:val="o"/>
      <w:lvlJc w:val="left"/>
      <w:pPr>
        <w:tabs>
          <w:tab w:val="num" w:pos="1410"/>
        </w:tabs>
        <w:ind w:left="1410" w:hanging="330"/>
      </w:pPr>
      <w:rPr>
        <w:rFonts w:ascii="Calibri" w:eastAsia="Times New Roman" w:hAnsi="Calibri"/>
        <w:color w:val="000000"/>
        <w:position w:val="0"/>
        <w:sz w:val="22"/>
        <w:szCs w:val="22"/>
      </w:rPr>
    </w:lvl>
    <w:lvl w:ilvl="2">
      <w:start w:val="1"/>
      <w:numFmt w:val="bullet"/>
      <w:lvlText w:val="▪"/>
      <w:lvlJc w:val="left"/>
      <w:pPr>
        <w:tabs>
          <w:tab w:val="num" w:pos="2130"/>
        </w:tabs>
        <w:ind w:left="2130" w:hanging="330"/>
      </w:pPr>
      <w:rPr>
        <w:rFonts w:ascii="Calibri" w:eastAsia="Times New Roman" w:hAnsi="Calibri"/>
        <w:color w:val="000000"/>
        <w:position w:val="0"/>
        <w:sz w:val="22"/>
        <w:szCs w:val="22"/>
      </w:rPr>
    </w:lvl>
    <w:lvl w:ilvl="3">
      <w:start w:val="1"/>
      <w:numFmt w:val="bullet"/>
      <w:lvlText w:val="•"/>
      <w:lvlJc w:val="left"/>
      <w:pPr>
        <w:tabs>
          <w:tab w:val="num" w:pos="2850"/>
        </w:tabs>
        <w:ind w:left="2850" w:hanging="330"/>
      </w:pPr>
      <w:rPr>
        <w:rFonts w:ascii="Calibri" w:eastAsia="Times New Roman" w:hAnsi="Calibri"/>
        <w:color w:val="000000"/>
        <w:position w:val="0"/>
        <w:sz w:val="22"/>
        <w:szCs w:val="22"/>
      </w:rPr>
    </w:lvl>
    <w:lvl w:ilvl="4">
      <w:start w:val="1"/>
      <w:numFmt w:val="bullet"/>
      <w:lvlText w:val="o"/>
      <w:lvlJc w:val="left"/>
      <w:pPr>
        <w:tabs>
          <w:tab w:val="num" w:pos="3570"/>
        </w:tabs>
        <w:ind w:left="3570" w:hanging="330"/>
      </w:pPr>
      <w:rPr>
        <w:rFonts w:ascii="Calibri" w:eastAsia="Times New Roman" w:hAnsi="Calibri"/>
        <w:color w:val="000000"/>
        <w:position w:val="0"/>
        <w:sz w:val="22"/>
        <w:szCs w:val="22"/>
      </w:rPr>
    </w:lvl>
    <w:lvl w:ilvl="5">
      <w:start w:val="1"/>
      <w:numFmt w:val="bullet"/>
      <w:lvlText w:val="▪"/>
      <w:lvlJc w:val="left"/>
      <w:pPr>
        <w:tabs>
          <w:tab w:val="num" w:pos="4290"/>
        </w:tabs>
        <w:ind w:left="4290" w:hanging="330"/>
      </w:pPr>
      <w:rPr>
        <w:rFonts w:ascii="Calibri" w:eastAsia="Times New Roman" w:hAnsi="Calibri"/>
        <w:color w:val="000000"/>
        <w:position w:val="0"/>
        <w:sz w:val="22"/>
        <w:szCs w:val="22"/>
      </w:rPr>
    </w:lvl>
    <w:lvl w:ilvl="6">
      <w:start w:val="1"/>
      <w:numFmt w:val="bullet"/>
      <w:lvlText w:val="•"/>
      <w:lvlJc w:val="left"/>
      <w:pPr>
        <w:tabs>
          <w:tab w:val="num" w:pos="5010"/>
        </w:tabs>
        <w:ind w:left="5010" w:hanging="330"/>
      </w:pPr>
      <w:rPr>
        <w:rFonts w:ascii="Calibri" w:eastAsia="Times New Roman" w:hAnsi="Calibri"/>
        <w:color w:val="000000"/>
        <w:position w:val="0"/>
        <w:sz w:val="22"/>
        <w:szCs w:val="22"/>
      </w:rPr>
    </w:lvl>
    <w:lvl w:ilvl="7">
      <w:start w:val="1"/>
      <w:numFmt w:val="bullet"/>
      <w:lvlText w:val="o"/>
      <w:lvlJc w:val="left"/>
      <w:pPr>
        <w:tabs>
          <w:tab w:val="num" w:pos="5730"/>
        </w:tabs>
        <w:ind w:left="5730" w:hanging="330"/>
      </w:pPr>
      <w:rPr>
        <w:rFonts w:ascii="Calibri" w:eastAsia="Times New Roman" w:hAnsi="Calibri"/>
        <w:color w:val="000000"/>
        <w:position w:val="0"/>
        <w:sz w:val="22"/>
        <w:szCs w:val="22"/>
      </w:rPr>
    </w:lvl>
    <w:lvl w:ilvl="8">
      <w:start w:val="1"/>
      <w:numFmt w:val="bullet"/>
      <w:lvlText w:val="▪"/>
      <w:lvlJc w:val="left"/>
      <w:pPr>
        <w:tabs>
          <w:tab w:val="num" w:pos="6450"/>
        </w:tabs>
        <w:ind w:left="6450" w:hanging="330"/>
      </w:pPr>
      <w:rPr>
        <w:rFonts w:ascii="Calibri" w:eastAsia="Times New Roman" w:hAnsi="Calibri"/>
        <w:color w:val="000000"/>
        <w:position w:val="0"/>
        <w:sz w:val="22"/>
        <w:szCs w:val="22"/>
      </w:rPr>
    </w:lvl>
  </w:abstractNum>
  <w:abstractNum w:abstractNumId="24"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imes New Roman" w:hAnsi="Trebuchet MS"/>
        <w:b/>
        <w:bC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b/>
        <w:bCs/>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b/>
        <w:bCs/>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b/>
        <w:bCs/>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b/>
        <w:bCs/>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b/>
        <w:bCs/>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b/>
        <w:bCs/>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b/>
        <w:bCs/>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b/>
        <w:bCs/>
        <w:color w:val="000000"/>
        <w:position w:val="0"/>
        <w:sz w:val="22"/>
        <w:szCs w:val="22"/>
      </w:rPr>
    </w:lvl>
  </w:abstractNum>
  <w:abstractNum w:abstractNumId="25"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imes New Roman" w:hAnsi="Trebuchet M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26"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imes New Roman" w:hAnsi="Trebuchet M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27"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imes New Roman" w:hAnsi="Trebuchet MS"/>
        <w:color w:val="000000"/>
        <w:position w:val="0"/>
        <w:sz w:val="22"/>
        <w:szCs w:val="22"/>
      </w:rPr>
    </w:lvl>
    <w:lvl w:ilvl="1">
      <w:start w:val="1"/>
      <w:numFmt w:val="bullet"/>
      <w:lvlText w:val="•"/>
      <w:lvlJc w:val="left"/>
      <w:pPr>
        <w:tabs>
          <w:tab w:val="num" w:pos="1740"/>
        </w:tabs>
        <w:ind w:left="1740" w:hanging="66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28"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imes New Roman" w:hAnsi="Trebuchet M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29"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imes New Roman" w:hAnsi="Trebuchet M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3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imes New Roman" w:hAnsi="Trebuchet MS"/>
        <w:b/>
        <w:bCs/>
        <w:color w:val="000000"/>
        <w:position w:val="0"/>
        <w:sz w:val="22"/>
        <w:szCs w:val="22"/>
        <w:u w:val="single"/>
      </w:rPr>
    </w:lvl>
    <w:lvl w:ilvl="1">
      <w:start w:val="1"/>
      <w:numFmt w:val="lowerLetter"/>
      <w:lvlText w:val="%2."/>
      <w:lvlJc w:val="left"/>
      <w:pPr>
        <w:tabs>
          <w:tab w:val="num" w:pos="1770"/>
        </w:tabs>
        <w:ind w:left="1770" w:hanging="330"/>
      </w:pPr>
      <w:rPr>
        <w:rFonts w:ascii="Calibri" w:eastAsia="Times New Roman" w:hAnsi="Calibri"/>
        <w:b/>
        <w:bCs/>
        <w:color w:val="000000"/>
        <w:position w:val="0"/>
        <w:sz w:val="22"/>
        <w:szCs w:val="22"/>
        <w:u w:val="single"/>
      </w:rPr>
    </w:lvl>
    <w:lvl w:ilvl="2">
      <w:start w:val="1"/>
      <w:numFmt w:val="lowerRoman"/>
      <w:lvlText w:val="%3."/>
      <w:lvlJc w:val="left"/>
      <w:pPr>
        <w:tabs>
          <w:tab w:val="num" w:pos="2495"/>
        </w:tabs>
        <w:ind w:left="2495" w:hanging="271"/>
      </w:pPr>
      <w:rPr>
        <w:rFonts w:ascii="Calibri" w:eastAsia="Times New Roman" w:hAnsi="Calibri"/>
        <w:b/>
        <w:bCs/>
        <w:color w:val="000000"/>
        <w:position w:val="0"/>
        <w:sz w:val="22"/>
        <w:szCs w:val="22"/>
        <w:u w:val="single"/>
      </w:rPr>
    </w:lvl>
    <w:lvl w:ilvl="3">
      <w:start w:val="1"/>
      <w:numFmt w:val="decimal"/>
      <w:lvlText w:val="%4."/>
      <w:lvlJc w:val="left"/>
      <w:pPr>
        <w:tabs>
          <w:tab w:val="num" w:pos="3210"/>
        </w:tabs>
        <w:ind w:left="3210" w:hanging="330"/>
      </w:pPr>
      <w:rPr>
        <w:rFonts w:ascii="Calibri" w:eastAsia="Times New Roman" w:hAnsi="Calibri"/>
        <w:b/>
        <w:bCs/>
        <w:color w:val="000000"/>
        <w:position w:val="0"/>
        <w:sz w:val="22"/>
        <w:szCs w:val="22"/>
        <w:u w:val="single"/>
      </w:rPr>
    </w:lvl>
    <w:lvl w:ilvl="4">
      <w:start w:val="1"/>
      <w:numFmt w:val="lowerLetter"/>
      <w:lvlText w:val="%5."/>
      <w:lvlJc w:val="left"/>
      <w:pPr>
        <w:tabs>
          <w:tab w:val="num" w:pos="3930"/>
        </w:tabs>
        <w:ind w:left="3930" w:hanging="330"/>
      </w:pPr>
      <w:rPr>
        <w:rFonts w:ascii="Calibri" w:eastAsia="Times New Roman" w:hAnsi="Calibri"/>
        <w:b/>
        <w:bCs/>
        <w:color w:val="000000"/>
        <w:position w:val="0"/>
        <w:sz w:val="22"/>
        <w:szCs w:val="22"/>
        <w:u w:val="single"/>
      </w:rPr>
    </w:lvl>
    <w:lvl w:ilvl="5">
      <w:start w:val="1"/>
      <w:numFmt w:val="lowerRoman"/>
      <w:lvlText w:val="%6."/>
      <w:lvlJc w:val="left"/>
      <w:pPr>
        <w:tabs>
          <w:tab w:val="num" w:pos="4655"/>
        </w:tabs>
        <w:ind w:left="4655" w:hanging="271"/>
      </w:pPr>
      <w:rPr>
        <w:rFonts w:ascii="Calibri" w:eastAsia="Times New Roman" w:hAnsi="Calibri"/>
        <w:b/>
        <w:bCs/>
        <w:color w:val="000000"/>
        <w:position w:val="0"/>
        <w:sz w:val="22"/>
        <w:szCs w:val="22"/>
        <w:u w:val="single"/>
      </w:rPr>
    </w:lvl>
    <w:lvl w:ilvl="6">
      <w:start w:val="1"/>
      <w:numFmt w:val="decimal"/>
      <w:lvlText w:val="%7."/>
      <w:lvlJc w:val="left"/>
      <w:pPr>
        <w:tabs>
          <w:tab w:val="num" w:pos="5370"/>
        </w:tabs>
        <w:ind w:left="5370" w:hanging="330"/>
      </w:pPr>
      <w:rPr>
        <w:rFonts w:ascii="Calibri" w:eastAsia="Times New Roman" w:hAnsi="Calibri"/>
        <w:b/>
        <w:bCs/>
        <w:color w:val="000000"/>
        <w:position w:val="0"/>
        <w:sz w:val="22"/>
        <w:szCs w:val="22"/>
        <w:u w:val="single"/>
      </w:rPr>
    </w:lvl>
    <w:lvl w:ilvl="7">
      <w:start w:val="1"/>
      <w:numFmt w:val="lowerLetter"/>
      <w:lvlText w:val="%8."/>
      <w:lvlJc w:val="left"/>
      <w:pPr>
        <w:tabs>
          <w:tab w:val="num" w:pos="6090"/>
        </w:tabs>
        <w:ind w:left="6090" w:hanging="330"/>
      </w:pPr>
      <w:rPr>
        <w:rFonts w:ascii="Calibri" w:eastAsia="Times New Roman" w:hAnsi="Calibri"/>
        <w:b/>
        <w:bCs/>
        <w:color w:val="000000"/>
        <w:position w:val="0"/>
        <w:sz w:val="22"/>
        <w:szCs w:val="22"/>
        <w:u w:val="single"/>
      </w:rPr>
    </w:lvl>
    <w:lvl w:ilvl="8">
      <w:start w:val="1"/>
      <w:numFmt w:val="lowerRoman"/>
      <w:lvlText w:val="%9."/>
      <w:lvlJc w:val="left"/>
      <w:pPr>
        <w:tabs>
          <w:tab w:val="num" w:pos="6815"/>
        </w:tabs>
        <w:ind w:left="6815" w:hanging="271"/>
      </w:pPr>
      <w:rPr>
        <w:rFonts w:ascii="Calibri" w:eastAsia="Times New Roman" w:hAnsi="Calibri"/>
        <w:b/>
        <w:bCs/>
        <w:color w:val="000000"/>
        <w:position w:val="0"/>
        <w:sz w:val="22"/>
        <w:szCs w:val="22"/>
        <w:u w:val="single"/>
      </w:rPr>
    </w:lvl>
  </w:abstractNum>
  <w:abstractNum w:abstractNumId="3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Times New Roman" w:hAnsi="Calibri"/>
        <w:b/>
        <w:bCs/>
        <w:color w:val="000000"/>
        <w:position w:val="0"/>
        <w:sz w:val="22"/>
        <w:szCs w:val="22"/>
        <w:u w:val="single"/>
      </w:rPr>
    </w:lvl>
    <w:lvl w:ilvl="1">
      <w:start w:val="1"/>
      <w:numFmt w:val="lowerLetter"/>
      <w:lvlText w:val="%2."/>
      <w:lvlJc w:val="left"/>
      <w:pPr>
        <w:tabs>
          <w:tab w:val="num" w:pos="1410"/>
        </w:tabs>
        <w:ind w:left="1410" w:hanging="330"/>
      </w:pPr>
      <w:rPr>
        <w:rFonts w:ascii="Calibri" w:eastAsia="Times New Roman" w:hAnsi="Calibri"/>
        <w:b/>
        <w:bCs/>
        <w:color w:val="000000"/>
        <w:position w:val="0"/>
        <w:sz w:val="22"/>
        <w:szCs w:val="22"/>
        <w:u w:val="single"/>
      </w:rPr>
    </w:lvl>
    <w:lvl w:ilvl="2">
      <w:start w:val="1"/>
      <w:numFmt w:val="lowerRoman"/>
      <w:lvlText w:val="%3."/>
      <w:lvlJc w:val="left"/>
      <w:pPr>
        <w:tabs>
          <w:tab w:val="num" w:pos="2135"/>
        </w:tabs>
        <w:ind w:left="2135" w:hanging="271"/>
      </w:pPr>
      <w:rPr>
        <w:rFonts w:ascii="Calibri" w:eastAsia="Times New Roman" w:hAnsi="Calibri"/>
        <w:b/>
        <w:bCs/>
        <w:color w:val="000000"/>
        <w:position w:val="0"/>
        <w:sz w:val="22"/>
        <w:szCs w:val="22"/>
        <w:u w:val="single"/>
      </w:rPr>
    </w:lvl>
    <w:lvl w:ilvl="3">
      <w:start w:val="1"/>
      <w:numFmt w:val="decimal"/>
      <w:lvlText w:val="%4."/>
      <w:lvlJc w:val="left"/>
      <w:pPr>
        <w:tabs>
          <w:tab w:val="num" w:pos="720"/>
        </w:tabs>
        <w:ind w:left="720" w:hanging="360"/>
      </w:pPr>
      <w:rPr>
        <w:rFonts w:ascii="Trebuchet MS" w:eastAsia="Times New Roman" w:hAnsi="Trebuchet MS"/>
        <w:b/>
        <w:bCs/>
        <w:color w:val="000000"/>
        <w:position w:val="0"/>
        <w:sz w:val="22"/>
        <w:szCs w:val="22"/>
        <w:u w:val="single"/>
      </w:rPr>
    </w:lvl>
    <w:lvl w:ilvl="4">
      <w:start w:val="1"/>
      <w:numFmt w:val="lowerLetter"/>
      <w:lvlText w:val="%5."/>
      <w:lvlJc w:val="left"/>
      <w:pPr>
        <w:tabs>
          <w:tab w:val="num" w:pos="3570"/>
        </w:tabs>
        <w:ind w:left="3570" w:hanging="330"/>
      </w:pPr>
      <w:rPr>
        <w:rFonts w:ascii="Calibri" w:eastAsia="Times New Roman" w:hAnsi="Calibri"/>
        <w:b/>
        <w:bCs/>
        <w:color w:val="000000"/>
        <w:position w:val="0"/>
        <w:sz w:val="22"/>
        <w:szCs w:val="22"/>
        <w:u w:val="single"/>
      </w:rPr>
    </w:lvl>
    <w:lvl w:ilvl="5">
      <w:start w:val="1"/>
      <w:numFmt w:val="lowerRoman"/>
      <w:lvlText w:val="%6."/>
      <w:lvlJc w:val="left"/>
      <w:pPr>
        <w:tabs>
          <w:tab w:val="num" w:pos="4295"/>
        </w:tabs>
        <w:ind w:left="4295" w:hanging="271"/>
      </w:pPr>
      <w:rPr>
        <w:rFonts w:ascii="Calibri" w:eastAsia="Times New Roman" w:hAnsi="Calibri"/>
        <w:b/>
        <w:bCs/>
        <w:color w:val="000000"/>
        <w:position w:val="0"/>
        <w:sz w:val="22"/>
        <w:szCs w:val="22"/>
        <w:u w:val="single"/>
      </w:rPr>
    </w:lvl>
    <w:lvl w:ilvl="6">
      <w:start w:val="1"/>
      <w:numFmt w:val="decimal"/>
      <w:lvlText w:val="%7."/>
      <w:lvlJc w:val="left"/>
      <w:pPr>
        <w:tabs>
          <w:tab w:val="num" w:pos="5010"/>
        </w:tabs>
        <w:ind w:left="5010" w:hanging="330"/>
      </w:pPr>
      <w:rPr>
        <w:rFonts w:ascii="Calibri" w:eastAsia="Times New Roman" w:hAnsi="Calibri"/>
        <w:b/>
        <w:bCs/>
        <w:color w:val="000000"/>
        <w:position w:val="0"/>
        <w:sz w:val="22"/>
        <w:szCs w:val="22"/>
        <w:u w:val="single"/>
      </w:rPr>
    </w:lvl>
    <w:lvl w:ilvl="7">
      <w:start w:val="1"/>
      <w:numFmt w:val="lowerLetter"/>
      <w:lvlText w:val="%8."/>
      <w:lvlJc w:val="left"/>
      <w:pPr>
        <w:tabs>
          <w:tab w:val="num" w:pos="5730"/>
        </w:tabs>
        <w:ind w:left="5730" w:hanging="330"/>
      </w:pPr>
      <w:rPr>
        <w:rFonts w:ascii="Calibri" w:eastAsia="Times New Roman" w:hAnsi="Calibri"/>
        <w:b/>
        <w:bCs/>
        <w:color w:val="000000"/>
        <w:position w:val="0"/>
        <w:sz w:val="22"/>
        <w:szCs w:val="22"/>
        <w:u w:val="single"/>
      </w:rPr>
    </w:lvl>
    <w:lvl w:ilvl="8">
      <w:start w:val="1"/>
      <w:numFmt w:val="lowerRoman"/>
      <w:lvlText w:val="%9."/>
      <w:lvlJc w:val="left"/>
      <w:pPr>
        <w:tabs>
          <w:tab w:val="num" w:pos="6455"/>
        </w:tabs>
        <w:ind w:left="6455" w:hanging="271"/>
      </w:pPr>
      <w:rPr>
        <w:rFonts w:ascii="Calibri" w:eastAsia="Times New Roman" w:hAnsi="Calibri"/>
        <w:b/>
        <w:bCs/>
        <w:color w:val="000000"/>
        <w:position w:val="0"/>
        <w:sz w:val="22"/>
        <w:szCs w:val="22"/>
        <w:u w:val="single"/>
      </w:rPr>
    </w:lvl>
  </w:abstractNum>
  <w:abstractNum w:abstractNumId="3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imes New Roman" w:hAnsi="Trebuchet M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3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imes New Roman" w:hAnsi="Trebuchet M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34"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imes New Roman" w:hAnsi="Trebuchet MS"/>
        <w:b/>
        <w:bC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b/>
        <w:bCs/>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b/>
        <w:bCs/>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b/>
        <w:bCs/>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b/>
        <w:bCs/>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b/>
        <w:bCs/>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b/>
        <w:bCs/>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b/>
        <w:bCs/>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b/>
        <w:bCs/>
        <w:color w:val="000000"/>
        <w:position w:val="0"/>
        <w:sz w:val="22"/>
        <w:szCs w:val="22"/>
      </w:rPr>
    </w:lvl>
  </w:abstractNum>
  <w:abstractNum w:abstractNumId="3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imes New Roman" w:hAnsi="Trebuchet MS"/>
        <w:b/>
        <w:bC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b/>
        <w:bCs/>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b/>
        <w:bCs/>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b/>
        <w:bCs/>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b/>
        <w:bCs/>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b/>
        <w:bCs/>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b/>
        <w:bCs/>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b/>
        <w:bCs/>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b/>
        <w:bCs/>
        <w:color w:val="000000"/>
        <w:position w:val="0"/>
        <w:sz w:val="22"/>
        <w:szCs w:val="22"/>
      </w:rPr>
    </w:lvl>
  </w:abstractNum>
  <w:abstractNum w:abstractNumId="36" w15:restartNumberingAfterBreak="0">
    <w:nsid w:val="560E281B"/>
    <w:multiLevelType w:val="hybridMultilevel"/>
    <w:tmpl w:val="A726FCC0"/>
    <w:lvl w:ilvl="0" w:tplc="DCF05F6C">
      <w:start w:val="1"/>
      <w:numFmt w:val="decimal"/>
      <w:lvlText w:val="%1."/>
      <w:lvlJc w:val="left"/>
      <w:pPr>
        <w:tabs>
          <w:tab w:val="num" w:pos="720"/>
        </w:tabs>
        <w:ind w:firstLine="720"/>
      </w:pPr>
      <w:rPr>
        <w:rFonts w:hint="default"/>
        <w:i w:val="0"/>
        <w:iCs w:val="0"/>
        <w:vanish w:val="0"/>
        <w:color w:val="auto"/>
      </w:rPr>
    </w:lvl>
    <w:lvl w:ilvl="1" w:tplc="F4A03A6C">
      <w:start w:val="1"/>
      <w:numFmt w:val="lowerLetter"/>
      <w:lvlText w:val="%2."/>
      <w:lvlJc w:val="left"/>
      <w:pPr>
        <w:tabs>
          <w:tab w:val="num" w:pos="1440"/>
        </w:tabs>
        <w:ind w:left="1440" w:hanging="360"/>
      </w:pPr>
    </w:lvl>
    <w:lvl w:ilvl="2" w:tplc="D57A48FA">
      <w:start w:val="1"/>
      <w:numFmt w:val="lowerRoman"/>
      <w:lvlText w:val="%3."/>
      <w:lvlJc w:val="right"/>
      <w:pPr>
        <w:tabs>
          <w:tab w:val="num" w:pos="2160"/>
        </w:tabs>
        <w:ind w:left="2160" w:hanging="180"/>
      </w:pPr>
    </w:lvl>
    <w:lvl w:ilvl="3" w:tplc="FADEE338">
      <w:start w:val="1"/>
      <w:numFmt w:val="decimal"/>
      <w:lvlText w:val="%4."/>
      <w:lvlJc w:val="left"/>
      <w:pPr>
        <w:tabs>
          <w:tab w:val="num" w:pos="2880"/>
        </w:tabs>
        <w:ind w:left="2880" w:hanging="360"/>
      </w:pPr>
    </w:lvl>
    <w:lvl w:ilvl="4" w:tplc="769C9E60">
      <w:start w:val="1"/>
      <w:numFmt w:val="lowerLetter"/>
      <w:lvlText w:val="%5."/>
      <w:lvlJc w:val="left"/>
      <w:pPr>
        <w:tabs>
          <w:tab w:val="num" w:pos="3600"/>
        </w:tabs>
        <w:ind w:left="3600" w:hanging="360"/>
      </w:pPr>
    </w:lvl>
    <w:lvl w:ilvl="5" w:tplc="39945B92">
      <w:start w:val="1"/>
      <w:numFmt w:val="lowerRoman"/>
      <w:lvlText w:val="%6."/>
      <w:lvlJc w:val="right"/>
      <w:pPr>
        <w:tabs>
          <w:tab w:val="num" w:pos="4320"/>
        </w:tabs>
        <w:ind w:left="4320" w:hanging="180"/>
      </w:pPr>
    </w:lvl>
    <w:lvl w:ilvl="6" w:tplc="5010C86E">
      <w:start w:val="1"/>
      <w:numFmt w:val="decimal"/>
      <w:lvlText w:val="%7."/>
      <w:lvlJc w:val="left"/>
      <w:pPr>
        <w:tabs>
          <w:tab w:val="num" w:pos="5040"/>
        </w:tabs>
        <w:ind w:left="5040" w:hanging="360"/>
      </w:pPr>
    </w:lvl>
    <w:lvl w:ilvl="7" w:tplc="B2B411F2">
      <w:start w:val="1"/>
      <w:numFmt w:val="lowerLetter"/>
      <w:lvlText w:val="%8."/>
      <w:lvlJc w:val="left"/>
      <w:pPr>
        <w:tabs>
          <w:tab w:val="num" w:pos="5760"/>
        </w:tabs>
        <w:ind w:left="5760" w:hanging="360"/>
      </w:pPr>
    </w:lvl>
    <w:lvl w:ilvl="8" w:tplc="E64CB93E">
      <w:start w:val="1"/>
      <w:numFmt w:val="lowerRoman"/>
      <w:lvlText w:val="%9."/>
      <w:lvlJc w:val="right"/>
      <w:pPr>
        <w:tabs>
          <w:tab w:val="num" w:pos="6480"/>
        </w:tabs>
        <w:ind w:left="6480" w:hanging="180"/>
      </w:pPr>
    </w:lvl>
  </w:abstractNum>
  <w:abstractNum w:abstractNumId="3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imes New Roman" w:hAnsi="Trebuchet MS"/>
        <w:b/>
        <w:bCs/>
        <w:color w:val="000000"/>
        <w:position w:val="0"/>
        <w:sz w:val="22"/>
        <w:szCs w:val="22"/>
        <w:u w:val="single"/>
      </w:rPr>
    </w:lvl>
    <w:lvl w:ilvl="1">
      <w:start w:val="1"/>
      <w:numFmt w:val="lowerLetter"/>
      <w:lvlText w:val="%2."/>
      <w:lvlJc w:val="left"/>
      <w:pPr>
        <w:tabs>
          <w:tab w:val="num" w:pos="1410"/>
        </w:tabs>
        <w:ind w:left="1410" w:hanging="330"/>
      </w:pPr>
      <w:rPr>
        <w:rFonts w:ascii="Calibri" w:eastAsia="Times New Roman" w:hAnsi="Calibri"/>
        <w:b/>
        <w:bCs/>
        <w:color w:val="000000"/>
        <w:position w:val="0"/>
        <w:sz w:val="22"/>
        <w:szCs w:val="22"/>
        <w:u w:val="single"/>
      </w:rPr>
    </w:lvl>
    <w:lvl w:ilvl="2">
      <w:start w:val="1"/>
      <w:numFmt w:val="lowerRoman"/>
      <w:lvlText w:val="%3."/>
      <w:lvlJc w:val="left"/>
      <w:pPr>
        <w:tabs>
          <w:tab w:val="num" w:pos="2135"/>
        </w:tabs>
        <w:ind w:left="2135" w:hanging="271"/>
      </w:pPr>
      <w:rPr>
        <w:rFonts w:ascii="Calibri" w:eastAsia="Times New Roman" w:hAnsi="Calibri"/>
        <w:b/>
        <w:bCs/>
        <w:color w:val="000000"/>
        <w:position w:val="0"/>
        <w:sz w:val="22"/>
        <w:szCs w:val="22"/>
        <w:u w:val="single"/>
      </w:rPr>
    </w:lvl>
    <w:lvl w:ilvl="3">
      <w:start w:val="1"/>
      <w:numFmt w:val="decimal"/>
      <w:lvlText w:val="%4."/>
      <w:lvlJc w:val="left"/>
      <w:pPr>
        <w:tabs>
          <w:tab w:val="num" w:pos="2850"/>
        </w:tabs>
        <w:ind w:left="2850" w:hanging="330"/>
      </w:pPr>
      <w:rPr>
        <w:rFonts w:ascii="Calibri" w:eastAsia="Times New Roman" w:hAnsi="Calibri"/>
        <w:b/>
        <w:bCs/>
        <w:color w:val="000000"/>
        <w:position w:val="0"/>
        <w:sz w:val="22"/>
        <w:szCs w:val="22"/>
        <w:u w:val="single"/>
      </w:rPr>
    </w:lvl>
    <w:lvl w:ilvl="4">
      <w:start w:val="1"/>
      <w:numFmt w:val="lowerLetter"/>
      <w:lvlText w:val="%5."/>
      <w:lvlJc w:val="left"/>
      <w:pPr>
        <w:tabs>
          <w:tab w:val="num" w:pos="3570"/>
        </w:tabs>
        <w:ind w:left="3570" w:hanging="330"/>
      </w:pPr>
      <w:rPr>
        <w:rFonts w:ascii="Calibri" w:eastAsia="Times New Roman" w:hAnsi="Calibri"/>
        <w:b/>
        <w:bCs/>
        <w:color w:val="000000"/>
        <w:position w:val="0"/>
        <w:sz w:val="22"/>
        <w:szCs w:val="22"/>
        <w:u w:val="single"/>
      </w:rPr>
    </w:lvl>
    <w:lvl w:ilvl="5">
      <w:start w:val="1"/>
      <w:numFmt w:val="lowerRoman"/>
      <w:lvlText w:val="%6."/>
      <w:lvlJc w:val="left"/>
      <w:pPr>
        <w:tabs>
          <w:tab w:val="num" w:pos="4295"/>
        </w:tabs>
        <w:ind w:left="4295" w:hanging="271"/>
      </w:pPr>
      <w:rPr>
        <w:rFonts w:ascii="Calibri" w:eastAsia="Times New Roman" w:hAnsi="Calibri"/>
        <w:b/>
        <w:bCs/>
        <w:color w:val="000000"/>
        <w:position w:val="0"/>
        <w:sz w:val="22"/>
        <w:szCs w:val="22"/>
        <w:u w:val="single"/>
      </w:rPr>
    </w:lvl>
    <w:lvl w:ilvl="6">
      <w:start w:val="1"/>
      <w:numFmt w:val="decimal"/>
      <w:lvlText w:val="%7."/>
      <w:lvlJc w:val="left"/>
      <w:pPr>
        <w:tabs>
          <w:tab w:val="num" w:pos="5010"/>
        </w:tabs>
        <w:ind w:left="5010" w:hanging="330"/>
      </w:pPr>
      <w:rPr>
        <w:rFonts w:ascii="Calibri" w:eastAsia="Times New Roman" w:hAnsi="Calibri"/>
        <w:b/>
        <w:bCs/>
        <w:color w:val="000000"/>
        <w:position w:val="0"/>
        <w:sz w:val="22"/>
        <w:szCs w:val="22"/>
        <w:u w:val="single"/>
      </w:rPr>
    </w:lvl>
    <w:lvl w:ilvl="7">
      <w:start w:val="1"/>
      <w:numFmt w:val="lowerLetter"/>
      <w:lvlText w:val="%8."/>
      <w:lvlJc w:val="left"/>
      <w:pPr>
        <w:tabs>
          <w:tab w:val="num" w:pos="5730"/>
        </w:tabs>
        <w:ind w:left="5730" w:hanging="330"/>
      </w:pPr>
      <w:rPr>
        <w:rFonts w:ascii="Calibri" w:eastAsia="Times New Roman" w:hAnsi="Calibri"/>
        <w:b/>
        <w:bCs/>
        <w:color w:val="000000"/>
        <w:position w:val="0"/>
        <w:sz w:val="22"/>
        <w:szCs w:val="22"/>
        <w:u w:val="single"/>
      </w:rPr>
    </w:lvl>
    <w:lvl w:ilvl="8">
      <w:start w:val="1"/>
      <w:numFmt w:val="lowerRoman"/>
      <w:lvlText w:val="%9."/>
      <w:lvlJc w:val="left"/>
      <w:pPr>
        <w:tabs>
          <w:tab w:val="num" w:pos="6455"/>
        </w:tabs>
        <w:ind w:left="6455" w:hanging="271"/>
      </w:pPr>
      <w:rPr>
        <w:rFonts w:ascii="Calibri" w:eastAsia="Times New Roman" w:hAnsi="Calibri"/>
        <w:b/>
        <w:bCs/>
        <w:color w:val="000000"/>
        <w:position w:val="0"/>
        <w:sz w:val="22"/>
        <w:szCs w:val="22"/>
        <w:u w:val="single"/>
      </w:rPr>
    </w:lvl>
  </w:abstractNum>
  <w:abstractNum w:abstractNumId="38"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imes New Roman" w:hAnsi="Trebuchet MS"/>
        <w:b/>
        <w:bC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b/>
        <w:bCs/>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b/>
        <w:bCs/>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b/>
        <w:bCs/>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b/>
        <w:bCs/>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b/>
        <w:bCs/>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b/>
        <w:bCs/>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b/>
        <w:bCs/>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b/>
        <w:bCs/>
        <w:color w:val="000000"/>
        <w:position w:val="0"/>
        <w:sz w:val="22"/>
        <w:szCs w:val="22"/>
      </w:rPr>
    </w:lvl>
  </w:abstractNum>
  <w:abstractNum w:abstractNumId="3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imes New Roman" w:hAnsi="Trebuchet M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40"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imes New Roman" w:hAnsi="Trebuchet MS"/>
        <w:b/>
        <w:bC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b/>
        <w:bCs/>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b/>
        <w:bCs/>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b/>
        <w:bCs/>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b/>
        <w:bCs/>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b/>
        <w:bCs/>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b/>
        <w:bCs/>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b/>
        <w:bCs/>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b/>
        <w:bCs/>
        <w:color w:val="000000"/>
        <w:position w:val="0"/>
        <w:sz w:val="22"/>
        <w:szCs w:val="22"/>
      </w:rPr>
    </w:lvl>
  </w:abstractNum>
  <w:abstractNum w:abstractNumId="41"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Times New Roman" w:hAnsi="Calibri"/>
        <w:b/>
        <w:bCs/>
        <w:color w:val="000000"/>
        <w:position w:val="0"/>
        <w:sz w:val="22"/>
        <w:szCs w:val="22"/>
        <w:u w:val="single"/>
      </w:rPr>
    </w:lvl>
    <w:lvl w:ilvl="1">
      <w:start w:val="2"/>
      <w:numFmt w:val="decimal"/>
      <w:lvlText w:val="%1.%2."/>
      <w:lvlJc w:val="left"/>
      <w:pPr>
        <w:tabs>
          <w:tab w:val="num" w:pos="720"/>
        </w:tabs>
        <w:ind w:left="720" w:hanging="360"/>
      </w:pPr>
      <w:rPr>
        <w:rFonts w:ascii="Trebuchet MS" w:eastAsia="Times New Roman" w:hAnsi="Trebuchet MS"/>
        <w:b/>
        <w:bCs/>
        <w:color w:val="000000"/>
        <w:position w:val="0"/>
        <w:sz w:val="22"/>
        <w:szCs w:val="22"/>
        <w:u w:val="single"/>
      </w:rPr>
    </w:lvl>
    <w:lvl w:ilvl="2">
      <w:start w:val="1"/>
      <w:numFmt w:val="decimal"/>
      <w:lvlText w:val="%1.%2.%3."/>
      <w:lvlJc w:val="left"/>
      <w:pPr>
        <w:tabs>
          <w:tab w:val="num" w:pos="1020"/>
        </w:tabs>
        <w:ind w:left="1020" w:hanging="660"/>
      </w:pPr>
      <w:rPr>
        <w:rFonts w:ascii="Calibri" w:eastAsia="Times New Roman" w:hAnsi="Calibri"/>
        <w:b/>
        <w:bCs/>
        <w:color w:val="000000"/>
        <w:position w:val="0"/>
        <w:sz w:val="22"/>
        <w:szCs w:val="22"/>
        <w:u w:val="single"/>
      </w:rPr>
    </w:lvl>
    <w:lvl w:ilvl="3">
      <w:start w:val="1"/>
      <w:numFmt w:val="decimal"/>
      <w:lvlText w:val="%1.%2.%3.%4."/>
      <w:lvlJc w:val="left"/>
      <w:pPr>
        <w:tabs>
          <w:tab w:val="num" w:pos="1020"/>
        </w:tabs>
        <w:ind w:left="1020" w:hanging="660"/>
      </w:pPr>
      <w:rPr>
        <w:rFonts w:ascii="Calibri" w:eastAsia="Times New Roman" w:hAnsi="Calibri"/>
        <w:b/>
        <w:bCs/>
        <w:color w:val="000000"/>
        <w:position w:val="0"/>
        <w:sz w:val="22"/>
        <w:szCs w:val="22"/>
        <w:u w:val="single"/>
      </w:rPr>
    </w:lvl>
    <w:lvl w:ilvl="4">
      <w:start w:val="1"/>
      <w:numFmt w:val="decimal"/>
      <w:lvlText w:val="%1.%2.%3.%4.%5."/>
      <w:lvlJc w:val="left"/>
      <w:pPr>
        <w:tabs>
          <w:tab w:val="num" w:pos="1350"/>
        </w:tabs>
        <w:ind w:left="1350" w:hanging="990"/>
      </w:pPr>
      <w:rPr>
        <w:rFonts w:ascii="Calibri" w:eastAsia="Times New Roman" w:hAnsi="Calibri"/>
        <w:b/>
        <w:bCs/>
        <w:color w:val="000000"/>
        <w:position w:val="0"/>
        <w:sz w:val="22"/>
        <w:szCs w:val="22"/>
        <w:u w:val="single"/>
      </w:rPr>
    </w:lvl>
    <w:lvl w:ilvl="5">
      <w:start w:val="1"/>
      <w:numFmt w:val="decimal"/>
      <w:lvlText w:val="%1.%2.%3.%4.%5.%6."/>
      <w:lvlJc w:val="left"/>
      <w:pPr>
        <w:tabs>
          <w:tab w:val="num" w:pos="1350"/>
        </w:tabs>
        <w:ind w:left="1350" w:hanging="990"/>
      </w:pPr>
      <w:rPr>
        <w:rFonts w:ascii="Calibri" w:eastAsia="Times New Roman" w:hAnsi="Calibri"/>
        <w:b/>
        <w:bCs/>
        <w:color w:val="000000"/>
        <w:position w:val="0"/>
        <w:sz w:val="22"/>
        <w:szCs w:val="22"/>
        <w:u w:val="single"/>
      </w:rPr>
    </w:lvl>
    <w:lvl w:ilvl="6">
      <w:start w:val="1"/>
      <w:numFmt w:val="decimal"/>
      <w:lvlText w:val="%1.%2.%3.%4.%5.%6.%7."/>
      <w:lvlJc w:val="left"/>
      <w:pPr>
        <w:tabs>
          <w:tab w:val="num" w:pos="1680"/>
        </w:tabs>
        <w:ind w:left="1680" w:hanging="1320"/>
      </w:pPr>
      <w:rPr>
        <w:rFonts w:ascii="Calibri" w:eastAsia="Times New Roman" w:hAnsi="Calibri"/>
        <w:b/>
        <w:bCs/>
        <w:color w:val="000000"/>
        <w:position w:val="0"/>
        <w:sz w:val="22"/>
        <w:szCs w:val="22"/>
        <w:u w:val="single"/>
      </w:rPr>
    </w:lvl>
    <w:lvl w:ilvl="7">
      <w:start w:val="1"/>
      <w:numFmt w:val="decimal"/>
      <w:lvlText w:val="%1.%2.%3.%4.%5.%6.%7.%8."/>
      <w:lvlJc w:val="left"/>
      <w:pPr>
        <w:tabs>
          <w:tab w:val="num" w:pos="1680"/>
        </w:tabs>
        <w:ind w:left="1680" w:hanging="1320"/>
      </w:pPr>
      <w:rPr>
        <w:rFonts w:ascii="Calibri" w:eastAsia="Times New Roman" w:hAnsi="Calibri"/>
        <w:b/>
        <w:bCs/>
        <w:color w:val="000000"/>
        <w:position w:val="0"/>
        <w:sz w:val="22"/>
        <w:szCs w:val="22"/>
        <w:u w:val="single"/>
      </w:rPr>
    </w:lvl>
    <w:lvl w:ilvl="8">
      <w:start w:val="1"/>
      <w:numFmt w:val="decimal"/>
      <w:lvlText w:val="%1.%2.%3.%4.%5.%6.%7.%8.%9."/>
      <w:lvlJc w:val="left"/>
      <w:pPr>
        <w:tabs>
          <w:tab w:val="num" w:pos="2010"/>
        </w:tabs>
        <w:ind w:left="2010" w:hanging="1650"/>
      </w:pPr>
      <w:rPr>
        <w:rFonts w:ascii="Calibri" w:eastAsia="Times New Roman" w:hAnsi="Calibri"/>
        <w:b/>
        <w:bCs/>
        <w:color w:val="000000"/>
        <w:position w:val="0"/>
        <w:sz w:val="22"/>
        <w:szCs w:val="22"/>
        <w:u w:val="single"/>
      </w:rPr>
    </w:lvl>
  </w:abstractNum>
  <w:abstractNum w:abstractNumId="42"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imes New Roman" w:hAnsi="Trebuchet M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690"/>
        </w:tabs>
        <w:ind w:left="69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43" w15:restartNumberingAfterBreak="0">
    <w:nsid w:val="70786ED7"/>
    <w:multiLevelType w:val="hybridMultilevel"/>
    <w:tmpl w:val="0004DB54"/>
    <w:lvl w:ilvl="0" w:tplc="0E0061EA">
      <w:start w:val="1"/>
      <w:numFmt w:val="upperRoman"/>
      <w:pStyle w:val="Heading1"/>
      <w:lvlText w:val="%1."/>
      <w:lvlJc w:val="left"/>
      <w:pPr>
        <w:ind w:left="720" w:hanging="360"/>
      </w:pPr>
      <w:rPr>
        <w:rFonts w:hint="default"/>
      </w:rPr>
    </w:lvl>
    <w:lvl w:ilvl="1" w:tplc="B6FA206E">
      <w:start w:val="1"/>
      <w:numFmt w:val="lowerLetter"/>
      <w:lvlText w:val="%2."/>
      <w:lvlJc w:val="left"/>
      <w:pPr>
        <w:ind w:left="1440" w:hanging="360"/>
      </w:pPr>
    </w:lvl>
    <w:lvl w:ilvl="2" w:tplc="772C601A">
      <w:start w:val="1"/>
      <w:numFmt w:val="lowerRoman"/>
      <w:lvlText w:val="%3."/>
      <w:lvlJc w:val="right"/>
      <w:pPr>
        <w:ind w:left="2160" w:hanging="180"/>
      </w:pPr>
    </w:lvl>
    <w:lvl w:ilvl="3" w:tplc="2F88CBB0">
      <w:start w:val="1"/>
      <w:numFmt w:val="decimal"/>
      <w:lvlText w:val="%4."/>
      <w:lvlJc w:val="left"/>
      <w:pPr>
        <w:ind w:left="2880" w:hanging="360"/>
      </w:pPr>
    </w:lvl>
    <w:lvl w:ilvl="4" w:tplc="BC1CF6CA">
      <w:start w:val="1"/>
      <w:numFmt w:val="lowerLetter"/>
      <w:lvlText w:val="%5."/>
      <w:lvlJc w:val="left"/>
      <w:pPr>
        <w:ind w:left="3600" w:hanging="360"/>
      </w:pPr>
    </w:lvl>
    <w:lvl w:ilvl="5" w:tplc="2AD452E4">
      <w:start w:val="1"/>
      <w:numFmt w:val="lowerRoman"/>
      <w:lvlText w:val="%6."/>
      <w:lvlJc w:val="right"/>
      <w:pPr>
        <w:ind w:left="4320" w:hanging="180"/>
      </w:pPr>
    </w:lvl>
    <w:lvl w:ilvl="6" w:tplc="69126340">
      <w:start w:val="1"/>
      <w:numFmt w:val="decimal"/>
      <w:lvlText w:val="%7."/>
      <w:lvlJc w:val="left"/>
      <w:pPr>
        <w:ind w:left="5040" w:hanging="360"/>
      </w:pPr>
    </w:lvl>
    <w:lvl w:ilvl="7" w:tplc="10B42124">
      <w:start w:val="1"/>
      <w:numFmt w:val="lowerLetter"/>
      <w:lvlText w:val="%8."/>
      <w:lvlJc w:val="left"/>
      <w:pPr>
        <w:ind w:left="5760" w:hanging="360"/>
      </w:pPr>
    </w:lvl>
    <w:lvl w:ilvl="8" w:tplc="B164C710">
      <w:start w:val="1"/>
      <w:numFmt w:val="lowerRoman"/>
      <w:lvlText w:val="%9."/>
      <w:lvlJc w:val="right"/>
      <w:pPr>
        <w:ind w:left="6480" w:hanging="180"/>
      </w:pPr>
    </w:lvl>
  </w:abstractNum>
  <w:abstractNum w:abstractNumId="44" w15:restartNumberingAfterBreak="0">
    <w:nsid w:val="745A711E"/>
    <w:multiLevelType w:val="multilevel"/>
    <w:tmpl w:val="ED88159C"/>
    <w:styleLink w:val="List41"/>
    <w:lvl w:ilvl="0">
      <w:start w:val="1"/>
      <w:numFmt w:val="decimal"/>
      <w:lvlText w:val="%1."/>
      <w:lvlJc w:val="left"/>
      <w:pPr>
        <w:tabs>
          <w:tab w:val="num" w:pos="720"/>
        </w:tabs>
        <w:ind w:left="720" w:hanging="360"/>
      </w:pPr>
      <w:rPr>
        <w:rFonts w:ascii="Trebuchet MS" w:eastAsia="Times New Roman" w:hAnsi="Trebuchet M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45" w15:restartNumberingAfterBreak="0">
    <w:nsid w:val="78C26FCF"/>
    <w:multiLevelType w:val="multilevel"/>
    <w:tmpl w:val="2FCAD168"/>
    <w:styleLink w:val="List31"/>
    <w:lvl w:ilvl="0">
      <w:start w:val="1"/>
      <w:numFmt w:val="lowerLetter"/>
      <w:lvlText w:val="%1."/>
      <w:lvlJc w:val="left"/>
      <w:pPr>
        <w:tabs>
          <w:tab w:val="num" w:pos="720"/>
        </w:tabs>
        <w:ind w:left="720" w:hanging="360"/>
      </w:pPr>
      <w:rPr>
        <w:rFonts w:ascii="Trebuchet MS" w:eastAsia="Times New Roman" w:hAnsi="Trebuchet M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46"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imes New Roman" w:hAnsi="Trebuchet MS"/>
        <w:b/>
        <w:bCs/>
        <w:color w:val="000000"/>
        <w:position w:val="0"/>
        <w:sz w:val="24"/>
        <w:szCs w:val="24"/>
      </w:rPr>
    </w:lvl>
    <w:lvl w:ilvl="1">
      <w:start w:val="1"/>
      <w:numFmt w:val="bullet"/>
      <w:lvlText w:val="o"/>
      <w:lvlJc w:val="left"/>
      <w:pPr>
        <w:tabs>
          <w:tab w:val="num" w:pos="1410"/>
        </w:tabs>
        <w:ind w:left="1410" w:hanging="330"/>
      </w:pPr>
      <w:rPr>
        <w:rFonts w:ascii="Calibri" w:eastAsia="Times New Roman" w:hAnsi="Calibri"/>
        <w:b/>
        <w:bCs/>
        <w:color w:val="000000"/>
        <w:position w:val="0"/>
        <w:sz w:val="22"/>
        <w:szCs w:val="22"/>
      </w:rPr>
    </w:lvl>
    <w:lvl w:ilvl="2">
      <w:start w:val="1"/>
      <w:numFmt w:val="bullet"/>
      <w:lvlText w:val="▪"/>
      <w:lvlJc w:val="left"/>
      <w:pPr>
        <w:tabs>
          <w:tab w:val="num" w:pos="2130"/>
        </w:tabs>
        <w:ind w:left="2130" w:hanging="330"/>
      </w:pPr>
      <w:rPr>
        <w:rFonts w:ascii="Calibri" w:eastAsia="Times New Roman" w:hAnsi="Calibri"/>
        <w:b/>
        <w:bCs/>
        <w:color w:val="000000"/>
        <w:position w:val="0"/>
        <w:sz w:val="22"/>
        <w:szCs w:val="22"/>
      </w:rPr>
    </w:lvl>
    <w:lvl w:ilvl="3">
      <w:start w:val="1"/>
      <w:numFmt w:val="bullet"/>
      <w:lvlText w:val="•"/>
      <w:lvlJc w:val="left"/>
      <w:pPr>
        <w:tabs>
          <w:tab w:val="num" w:pos="2850"/>
        </w:tabs>
        <w:ind w:left="2850" w:hanging="330"/>
      </w:pPr>
      <w:rPr>
        <w:rFonts w:ascii="Calibri" w:eastAsia="Times New Roman" w:hAnsi="Calibri"/>
        <w:b/>
        <w:bCs/>
        <w:color w:val="000000"/>
        <w:position w:val="0"/>
        <w:sz w:val="22"/>
        <w:szCs w:val="22"/>
      </w:rPr>
    </w:lvl>
    <w:lvl w:ilvl="4">
      <w:start w:val="1"/>
      <w:numFmt w:val="bullet"/>
      <w:lvlText w:val="o"/>
      <w:lvlJc w:val="left"/>
      <w:pPr>
        <w:tabs>
          <w:tab w:val="num" w:pos="3570"/>
        </w:tabs>
        <w:ind w:left="3570" w:hanging="330"/>
      </w:pPr>
      <w:rPr>
        <w:rFonts w:ascii="Calibri" w:eastAsia="Times New Roman" w:hAnsi="Calibri"/>
        <w:b/>
        <w:bCs/>
        <w:color w:val="000000"/>
        <w:position w:val="0"/>
        <w:sz w:val="22"/>
        <w:szCs w:val="22"/>
      </w:rPr>
    </w:lvl>
    <w:lvl w:ilvl="5">
      <w:start w:val="1"/>
      <w:numFmt w:val="bullet"/>
      <w:lvlText w:val="▪"/>
      <w:lvlJc w:val="left"/>
      <w:pPr>
        <w:tabs>
          <w:tab w:val="num" w:pos="4290"/>
        </w:tabs>
        <w:ind w:left="4290" w:hanging="330"/>
      </w:pPr>
      <w:rPr>
        <w:rFonts w:ascii="Calibri" w:eastAsia="Times New Roman" w:hAnsi="Calibri"/>
        <w:b/>
        <w:bCs/>
        <w:color w:val="000000"/>
        <w:position w:val="0"/>
        <w:sz w:val="22"/>
        <w:szCs w:val="22"/>
      </w:rPr>
    </w:lvl>
    <w:lvl w:ilvl="6">
      <w:start w:val="1"/>
      <w:numFmt w:val="bullet"/>
      <w:lvlText w:val="•"/>
      <w:lvlJc w:val="left"/>
      <w:pPr>
        <w:tabs>
          <w:tab w:val="num" w:pos="5010"/>
        </w:tabs>
        <w:ind w:left="5010" w:hanging="330"/>
      </w:pPr>
      <w:rPr>
        <w:rFonts w:ascii="Calibri" w:eastAsia="Times New Roman" w:hAnsi="Calibri"/>
        <w:b/>
        <w:bCs/>
        <w:color w:val="000000"/>
        <w:position w:val="0"/>
        <w:sz w:val="22"/>
        <w:szCs w:val="22"/>
      </w:rPr>
    </w:lvl>
    <w:lvl w:ilvl="7">
      <w:start w:val="1"/>
      <w:numFmt w:val="bullet"/>
      <w:lvlText w:val="o"/>
      <w:lvlJc w:val="left"/>
      <w:pPr>
        <w:tabs>
          <w:tab w:val="num" w:pos="5730"/>
        </w:tabs>
        <w:ind w:left="5730" w:hanging="330"/>
      </w:pPr>
      <w:rPr>
        <w:rFonts w:ascii="Calibri" w:eastAsia="Times New Roman" w:hAnsi="Calibri"/>
        <w:b/>
        <w:bCs/>
        <w:color w:val="000000"/>
        <w:position w:val="0"/>
        <w:sz w:val="22"/>
        <w:szCs w:val="22"/>
      </w:rPr>
    </w:lvl>
    <w:lvl w:ilvl="8">
      <w:start w:val="1"/>
      <w:numFmt w:val="bullet"/>
      <w:lvlText w:val="▪"/>
      <w:lvlJc w:val="left"/>
      <w:pPr>
        <w:tabs>
          <w:tab w:val="num" w:pos="6450"/>
        </w:tabs>
        <w:ind w:left="6450" w:hanging="330"/>
      </w:pPr>
      <w:rPr>
        <w:rFonts w:ascii="Calibri" w:eastAsia="Times New Roman" w:hAnsi="Calibri"/>
        <w:b/>
        <w:bCs/>
        <w:color w:val="000000"/>
        <w:position w:val="0"/>
        <w:sz w:val="22"/>
        <w:szCs w:val="22"/>
      </w:rPr>
    </w:lvl>
  </w:abstractNum>
  <w:abstractNum w:abstractNumId="47"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imes New Roman" w:hAnsi="Trebuchet M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48"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imes New Roman" w:hAnsi="Trebuchet M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49"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imes New Roman" w:hAnsi="Trebuchet M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50"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imes New Roman" w:hAnsi="Trebuchet M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51"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imes New Roman" w:hAnsi="Trebuchet MS"/>
        <w:b/>
        <w:bCs/>
        <w:color w:val="000000"/>
        <w:position w:val="0"/>
        <w:sz w:val="22"/>
        <w:szCs w:val="22"/>
        <w:u w:val="single"/>
      </w:rPr>
    </w:lvl>
    <w:lvl w:ilvl="1">
      <w:start w:val="1"/>
      <w:numFmt w:val="lowerLetter"/>
      <w:lvlText w:val="%2."/>
      <w:lvlJc w:val="left"/>
      <w:pPr>
        <w:tabs>
          <w:tab w:val="num" w:pos="1410"/>
        </w:tabs>
        <w:ind w:left="1410" w:hanging="330"/>
      </w:pPr>
      <w:rPr>
        <w:rFonts w:ascii="Calibri" w:eastAsia="Times New Roman" w:hAnsi="Calibri"/>
        <w:b/>
        <w:bCs/>
        <w:color w:val="000000"/>
        <w:position w:val="0"/>
        <w:sz w:val="22"/>
        <w:szCs w:val="22"/>
        <w:u w:val="single"/>
      </w:rPr>
    </w:lvl>
    <w:lvl w:ilvl="2">
      <w:start w:val="1"/>
      <w:numFmt w:val="lowerRoman"/>
      <w:lvlText w:val="%3."/>
      <w:lvlJc w:val="left"/>
      <w:pPr>
        <w:tabs>
          <w:tab w:val="num" w:pos="2135"/>
        </w:tabs>
        <w:ind w:left="2135" w:hanging="271"/>
      </w:pPr>
      <w:rPr>
        <w:rFonts w:ascii="Calibri" w:eastAsia="Times New Roman" w:hAnsi="Calibri"/>
        <w:b/>
        <w:bCs/>
        <w:color w:val="000000"/>
        <w:position w:val="0"/>
        <w:sz w:val="22"/>
        <w:szCs w:val="22"/>
        <w:u w:val="single"/>
      </w:rPr>
    </w:lvl>
    <w:lvl w:ilvl="3">
      <w:start w:val="1"/>
      <w:numFmt w:val="decimal"/>
      <w:lvlText w:val="%4."/>
      <w:lvlJc w:val="left"/>
      <w:pPr>
        <w:tabs>
          <w:tab w:val="num" w:pos="2850"/>
        </w:tabs>
        <w:ind w:left="2850" w:hanging="330"/>
      </w:pPr>
      <w:rPr>
        <w:rFonts w:ascii="Calibri" w:eastAsia="Times New Roman" w:hAnsi="Calibri"/>
        <w:b/>
        <w:bCs/>
        <w:color w:val="000000"/>
        <w:position w:val="0"/>
        <w:sz w:val="22"/>
        <w:szCs w:val="22"/>
        <w:u w:val="single"/>
      </w:rPr>
    </w:lvl>
    <w:lvl w:ilvl="4">
      <w:start w:val="1"/>
      <w:numFmt w:val="lowerLetter"/>
      <w:lvlText w:val="%5."/>
      <w:lvlJc w:val="left"/>
      <w:pPr>
        <w:tabs>
          <w:tab w:val="num" w:pos="3570"/>
        </w:tabs>
        <w:ind w:left="3570" w:hanging="330"/>
      </w:pPr>
      <w:rPr>
        <w:rFonts w:ascii="Calibri" w:eastAsia="Times New Roman" w:hAnsi="Calibri"/>
        <w:b/>
        <w:bCs/>
        <w:color w:val="000000"/>
        <w:position w:val="0"/>
        <w:sz w:val="22"/>
        <w:szCs w:val="22"/>
        <w:u w:val="single"/>
      </w:rPr>
    </w:lvl>
    <w:lvl w:ilvl="5">
      <w:start w:val="1"/>
      <w:numFmt w:val="lowerRoman"/>
      <w:lvlText w:val="%6."/>
      <w:lvlJc w:val="left"/>
      <w:pPr>
        <w:tabs>
          <w:tab w:val="num" w:pos="4295"/>
        </w:tabs>
        <w:ind w:left="4295" w:hanging="271"/>
      </w:pPr>
      <w:rPr>
        <w:rFonts w:ascii="Calibri" w:eastAsia="Times New Roman" w:hAnsi="Calibri"/>
        <w:b/>
        <w:bCs/>
        <w:color w:val="000000"/>
        <w:position w:val="0"/>
        <w:sz w:val="22"/>
        <w:szCs w:val="22"/>
        <w:u w:val="single"/>
      </w:rPr>
    </w:lvl>
    <w:lvl w:ilvl="6">
      <w:start w:val="1"/>
      <w:numFmt w:val="decimal"/>
      <w:lvlText w:val="%7."/>
      <w:lvlJc w:val="left"/>
      <w:pPr>
        <w:tabs>
          <w:tab w:val="num" w:pos="5010"/>
        </w:tabs>
        <w:ind w:left="5010" w:hanging="330"/>
      </w:pPr>
      <w:rPr>
        <w:rFonts w:ascii="Calibri" w:eastAsia="Times New Roman" w:hAnsi="Calibri"/>
        <w:b/>
        <w:bCs/>
        <w:color w:val="000000"/>
        <w:position w:val="0"/>
        <w:sz w:val="22"/>
        <w:szCs w:val="22"/>
        <w:u w:val="single"/>
      </w:rPr>
    </w:lvl>
    <w:lvl w:ilvl="7">
      <w:start w:val="1"/>
      <w:numFmt w:val="lowerLetter"/>
      <w:lvlText w:val="%8."/>
      <w:lvlJc w:val="left"/>
      <w:pPr>
        <w:tabs>
          <w:tab w:val="num" w:pos="5730"/>
        </w:tabs>
        <w:ind w:left="5730" w:hanging="330"/>
      </w:pPr>
      <w:rPr>
        <w:rFonts w:ascii="Calibri" w:eastAsia="Times New Roman" w:hAnsi="Calibri"/>
        <w:b/>
        <w:bCs/>
        <w:color w:val="000000"/>
        <w:position w:val="0"/>
        <w:sz w:val="22"/>
        <w:szCs w:val="22"/>
        <w:u w:val="single"/>
      </w:rPr>
    </w:lvl>
    <w:lvl w:ilvl="8">
      <w:start w:val="1"/>
      <w:numFmt w:val="lowerRoman"/>
      <w:lvlText w:val="%9."/>
      <w:lvlJc w:val="left"/>
      <w:pPr>
        <w:tabs>
          <w:tab w:val="num" w:pos="6455"/>
        </w:tabs>
        <w:ind w:left="6455" w:hanging="271"/>
      </w:pPr>
      <w:rPr>
        <w:rFonts w:ascii="Calibri" w:eastAsia="Times New Roman" w:hAnsi="Calibri"/>
        <w:b/>
        <w:bCs/>
        <w:color w:val="000000"/>
        <w:position w:val="0"/>
        <w:sz w:val="22"/>
        <w:szCs w:val="22"/>
        <w:u w:val="single"/>
      </w:rPr>
    </w:lvl>
  </w:abstractNum>
  <w:num w:numId="1">
    <w:abstractNumId w:val="3"/>
  </w:num>
  <w:num w:numId="2">
    <w:abstractNumId w:val="46"/>
  </w:num>
  <w:num w:numId="3">
    <w:abstractNumId w:val="18"/>
  </w:num>
  <w:num w:numId="4">
    <w:abstractNumId w:val="40"/>
  </w:num>
  <w:num w:numId="5">
    <w:abstractNumId w:val="23"/>
  </w:num>
  <w:num w:numId="6">
    <w:abstractNumId w:val="5"/>
  </w:num>
  <w:num w:numId="7">
    <w:abstractNumId w:val="15"/>
  </w:num>
  <w:num w:numId="8">
    <w:abstractNumId w:val="35"/>
  </w:num>
  <w:num w:numId="9">
    <w:abstractNumId w:val="0"/>
  </w:num>
  <w:num w:numId="10">
    <w:abstractNumId w:val="30"/>
  </w:num>
  <w:num w:numId="11">
    <w:abstractNumId w:val="31"/>
  </w:num>
  <w:num w:numId="12">
    <w:abstractNumId w:val="37"/>
  </w:num>
  <w:num w:numId="13">
    <w:abstractNumId w:val="1"/>
  </w:num>
  <w:num w:numId="14">
    <w:abstractNumId w:val="2"/>
  </w:num>
  <w:num w:numId="15">
    <w:abstractNumId w:val="6"/>
  </w:num>
  <w:num w:numId="16">
    <w:abstractNumId w:val="7"/>
  </w:num>
  <w:num w:numId="17">
    <w:abstractNumId w:val="8"/>
  </w:num>
  <w:num w:numId="18">
    <w:abstractNumId w:val="9"/>
  </w:num>
  <w:num w:numId="19">
    <w:abstractNumId w:val="10"/>
  </w:num>
  <w:num w:numId="20">
    <w:abstractNumId w:val="11"/>
  </w:num>
  <w:num w:numId="21">
    <w:abstractNumId w:val="12"/>
  </w:num>
  <w:num w:numId="22">
    <w:abstractNumId w:val="13"/>
  </w:num>
  <w:num w:numId="23">
    <w:abstractNumId w:val="14"/>
  </w:num>
  <w:num w:numId="24">
    <w:abstractNumId w:val="16"/>
  </w:num>
  <w:num w:numId="25">
    <w:abstractNumId w:val="17"/>
  </w:num>
  <w:num w:numId="26">
    <w:abstractNumId w:val="19"/>
  </w:num>
  <w:num w:numId="27">
    <w:abstractNumId w:val="20"/>
  </w:num>
  <w:num w:numId="28">
    <w:abstractNumId w:val="21"/>
  </w:num>
  <w:num w:numId="29">
    <w:abstractNumId w:val="22"/>
  </w:num>
  <w:num w:numId="30">
    <w:abstractNumId w:val="24"/>
  </w:num>
  <w:num w:numId="31">
    <w:abstractNumId w:val="25"/>
  </w:num>
  <w:num w:numId="32">
    <w:abstractNumId w:val="26"/>
  </w:num>
  <w:num w:numId="33">
    <w:abstractNumId w:val="27"/>
  </w:num>
  <w:num w:numId="34">
    <w:abstractNumId w:val="28"/>
  </w:num>
  <w:num w:numId="35">
    <w:abstractNumId w:val="29"/>
  </w:num>
  <w:num w:numId="36">
    <w:abstractNumId w:val="32"/>
  </w:num>
  <w:num w:numId="37">
    <w:abstractNumId w:val="33"/>
  </w:num>
  <w:num w:numId="38">
    <w:abstractNumId w:val="39"/>
  </w:num>
  <w:num w:numId="39">
    <w:abstractNumId w:val="41"/>
  </w:num>
  <w:num w:numId="40">
    <w:abstractNumId w:val="42"/>
  </w:num>
  <w:num w:numId="41">
    <w:abstractNumId w:val="44"/>
  </w:num>
  <w:num w:numId="42">
    <w:abstractNumId w:val="45"/>
  </w:num>
  <w:num w:numId="43">
    <w:abstractNumId w:val="47"/>
  </w:num>
  <w:num w:numId="44">
    <w:abstractNumId w:val="48"/>
  </w:num>
  <w:num w:numId="45">
    <w:abstractNumId w:val="49"/>
  </w:num>
  <w:num w:numId="46">
    <w:abstractNumId w:val="50"/>
  </w:num>
  <w:num w:numId="47">
    <w:abstractNumId w:val="51"/>
  </w:num>
  <w:num w:numId="48">
    <w:abstractNumId w:val="34"/>
  </w:num>
  <w:num w:numId="49">
    <w:abstractNumId w:val="43"/>
  </w:num>
  <w:num w:numId="50">
    <w:abstractNumId w:val="38"/>
  </w:num>
  <w:num w:numId="51">
    <w:abstractNumId w:val="4"/>
  </w:num>
  <w:num w:numId="52">
    <w:abstractNumId w:val="3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proofState w:spelling="clean" w:grammar="clean"/>
  <w:defaultTabStop w:val="720"/>
  <w:hyphenationZone w:val="425"/>
  <w:doNotHyphenateCaps/>
  <w:characterSpacingControl w:val="doNotCompress"/>
  <w:doNotValidateAgainstSchema/>
  <w:doNotDemarcateInvalidXml/>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zc3NDYzNjM0M7YwNTZQ0lEKTi0uzszPAymwqAUAi+0JbywAAAA="/>
  </w:docVars>
  <w:rsids>
    <w:rsidRoot w:val="006B2D5C"/>
    <w:rsid w:val="0000036F"/>
    <w:rsid w:val="00000CDA"/>
    <w:rsid w:val="00006E1F"/>
    <w:rsid w:val="000070D7"/>
    <w:rsid w:val="0001788C"/>
    <w:rsid w:val="00026D73"/>
    <w:rsid w:val="000337EF"/>
    <w:rsid w:val="000369D6"/>
    <w:rsid w:val="00040C3A"/>
    <w:rsid w:val="000419AD"/>
    <w:rsid w:val="000433C9"/>
    <w:rsid w:val="000441DC"/>
    <w:rsid w:val="000469E4"/>
    <w:rsid w:val="000612F5"/>
    <w:rsid w:val="000716C5"/>
    <w:rsid w:val="00075E23"/>
    <w:rsid w:val="00086C9C"/>
    <w:rsid w:val="0009344A"/>
    <w:rsid w:val="000A392E"/>
    <w:rsid w:val="000A575F"/>
    <w:rsid w:val="000A6CFE"/>
    <w:rsid w:val="000A7E6B"/>
    <w:rsid w:val="000B4F18"/>
    <w:rsid w:val="000C0C2A"/>
    <w:rsid w:val="000D10DB"/>
    <w:rsid w:val="000E5EB5"/>
    <w:rsid w:val="000E6696"/>
    <w:rsid w:val="000F35ED"/>
    <w:rsid w:val="00107131"/>
    <w:rsid w:val="0010736F"/>
    <w:rsid w:val="00113F73"/>
    <w:rsid w:val="00121CC2"/>
    <w:rsid w:val="00126384"/>
    <w:rsid w:val="00133EE5"/>
    <w:rsid w:val="00142E0B"/>
    <w:rsid w:val="00164EE6"/>
    <w:rsid w:val="00167A34"/>
    <w:rsid w:val="00182A1B"/>
    <w:rsid w:val="001875E8"/>
    <w:rsid w:val="00192519"/>
    <w:rsid w:val="001A3F0E"/>
    <w:rsid w:val="001A7870"/>
    <w:rsid w:val="001B3A00"/>
    <w:rsid w:val="001B6375"/>
    <w:rsid w:val="001B63F6"/>
    <w:rsid w:val="001C1B41"/>
    <w:rsid w:val="001C50E5"/>
    <w:rsid w:val="001D65EF"/>
    <w:rsid w:val="001E352D"/>
    <w:rsid w:val="001E49E7"/>
    <w:rsid w:val="001F7201"/>
    <w:rsid w:val="00207350"/>
    <w:rsid w:val="00211832"/>
    <w:rsid w:val="00223A29"/>
    <w:rsid w:val="00223CF9"/>
    <w:rsid w:val="002250A3"/>
    <w:rsid w:val="0022736D"/>
    <w:rsid w:val="00235217"/>
    <w:rsid w:val="002418A2"/>
    <w:rsid w:val="00241C9D"/>
    <w:rsid w:val="00246D1F"/>
    <w:rsid w:val="00247403"/>
    <w:rsid w:val="00247405"/>
    <w:rsid w:val="00247542"/>
    <w:rsid w:val="002516AD"/>
    <w:rsid w:val="002574C5"/>
    <w:rsid w:val="0026157B"/>
    <w:rsid w:val="00262A52"/>
    <w:rsid w:val="00266B61"/>
    <w:rsid w:val="0026712A"/>
    <w:rsid w:val="002704DB"/>
    <w:rsid w:val="00271672"/>
    <w:rsid w:val="0028086D"/>
    <w:rsid w:val="00287CDF"/>
    <w:rsid w:val="002A0AAE"/>
    <w:rsid w:val="002A5820"/>
    <w:rsid w:val="002B4C31"/>
    <w:rsid w:val="002D2B26"/>
    <w:rsid w:val="002D7EA2"/>
    <w:rsid w:val="002E187C"/>
    <w:rsid w:val="002E489F"/>
    <w:rsid w:val="00302733"/>
    <w:rsid w:val="003050FE"/>
    <w:rsid w:val="00314078"/>
    <w:rsid w:val="0031535D"/>
    <w:rsid w:val="00315F4C"/>
    <w:rsid w:val="003239B8"/>
    <w:rsid w:val="0033169F"/>
    <w:rsid w:val="00341602"/>
    <w:rsid w:val="00344977"/>
    <w:rsid w:val="00346C95"/>
    <w:rsid w:val="003512C4"/>
    <w:rsid w:val="00351695"/>
    <w:rsid w:val="00354457"/>
    <w:rsid w:val="00356185"/>
    <w:rsid w:val="00356ECF"/>
    <w:rsid w:val="00360380"/>
    <w:rsid w:val="00370506"/>
    <w:rsid w:val="0037245D"/>
    <w:rsid w:val="0037519E"/>
    <w:rsid w:val="00386CF0"/>
    <w:rsid w:val="0038709A"/>
    <w:rsid w:val="003A461C"/>
    <w:rsid w:val="003B70FB"/>
    <w:rsid w:val="003C5BED"/>
    <w:rsid w:val="003C676B"/>
    <w:rsid w:val="003D276C"/>
    <w:rsid w:val="003D3BC2"/>
    <w:rsid w:val="003E1DE9"/>
    <w:rsid w:val="003E6CA1"/>
    <w:rsid w:val="003E7168"/>
    <w:rsid w:val="003F0835"/>
    <w:rsid w:val="003F209A"/>
    <w:rsid w:val="004065A8"/>
    <w:rsid w:val="004165C2"/>
    <w:rsid w:val="0042312C"/>
    <w:rsid w:val="004274F1"/>
    <w:rsid w:val="00435AC7"/>
    <w:rsid w:val="00441ECB"/>
    <w:rsid w:val="00445193"/>
    <w:rsid w:val="00450BD7"/>
    <w:rsid w:val="00462C1B"/>
    <w:rsid w:val="00467B7E"/>
    <w:rsid w:val="00473BB4"/>
    <w:rsid w:val="00477592"/>
    <w:rsid w:val="00486F1C"/>
    <w:rsid w:val="00487A47"/>
    <w:rsid w:val="00491C13"/>
    <w:rsid w:val="0049419D"/>
    <w:rsid w:val="00495A38"/>
    <w:rsid w:val="004A6A54"/>
    <w:rsid w:val="004B3F04"/>
    <w:rsid w:val="004B5D14"/>
    <w:rsid w:val="004C20D2"/>
    <w:rsid w:val="004C2312"/>
    <w:rsid w:val="004C4B62"/>
    <w:rsid w:val="004C54C9"/>
    <w:rsid w:val="004C6C33"/>
    <w:rsid w:val="004D4ABA"/>
    <w:rsid w:val="004D6025"/>
    <w:rsid w:val="004E2649"/>
    <w:rsid w:val="004E2D04"/>
    <w:rsid w:val="004F4733"/>
    <w:rsid w:val="004F7F01"/>
    <w:rsid w:val="00501399"/>
    <w:rsid w:val="005013E2"/>
    <w:rsid w:val="00501ABA"/>
    <w:rsid w:val="0050633D"/>
    <w:rsid w:val="005071A4"/>
    <w:rsid w:val="00507BC4"/>
    <w:rsid w:val="0051155E"/>
    <w:rsid w:val="005128E4"/>
    <w:rsid w:val="005133DB"/>
    <w:rsid w:val="00520069"/>
    <w:rsid w:val="00525560"/>
    <w:rsid w:val="00541B3F"/>
    <w:rsid w:val="00543F53"/>
    <w:rsid w:val="00544C49"/>
    <w:rsid w:val="005451F6"/>
    <w:rsid w:val="005516A1"/>
    <w:rsid w:val="00563557"/>
    <w:rsid w:val="0057402A"/>
    <w:rsid w:val="005771D0"/>
    <w:rsid w:val="00586737"/>
    <w:rsid w:val="0059087A"/>
    <w:rsid w:val="0059191A"/>
    <w:rsid w:val="005921FF"/>
    <w:rsid w:val="00597E59"/>
    <w:rsid w:val="005A24ED"/>
    <w:rsid w:val="005A4125"/>
    <w:rsid w:val="005A6D0E"/>
    <w:rsid w:val="005B52B0"/>
    <w:rsid w:val="005B6806"/>
    <w:rsid w:val="005C4225"/>
    <w:rsid w:val="005F0DAD"/>
    <w:rsid w:val="005F0F33"/>
    <w:rsid w:val="00600DEB"/>
    <w:rsid w:val="006261BD"/>
    <w:rsid w:val="00627C9F"/>
    <w:rsid w:val="006311E9"/>
    <w:rsid w:val="00632354"/>
    <w:rsid w:val="00642810"/>
    <w:rsid w:val="00652333"/>
    <w:rsid w:val="00656756"/>
    <w:rsid w:val="00663EDA"/>
    <w:rsid w:val="00664CC6"/>
    <w:rsid w:val="00665A08"/>
    <w:rsid w:val="00670B53"/>
    <w:rsid w:val="006735C7"/>
    <w:rsid w:val="0067562E"/>
    <w:rsid w:val="00676C76"/>
    <w:rsid w:val="0068009E"/>
    <w:rsid w:val="00686703"/>
    <w:rsid w:val="00692219"/>
    <w:rsid w:val="006A13FD"/>
    <w:rsid w:val="006A17D2"/>
    <w:rsid w:val="006A20E7"/>
    <w:rsid w:val="006A73E6"/>
    <w:rsid w:val="006B2D5C"/>
    <w:rsid w:val="006B5EE6"/>
    <w:rsid w:val="006C17E7"/>
    <w:rsid w:val="006C3576"/>
    <w:rsid w:val="006C4EB1"/>
    <w:rsid w:val="006D7C37"/>
    <w:rsid w:val="006E0166"/>
    <w:rsid w:val="006E61DF"/>
    <w:rsid w:val="006E7B34"/>
    <w:rsid w:val="006F72F4"/>
    <w:rsid w:val="0070697F"/>
    <w:rsid w:val="00711997"/>
    <w:rsid w:val="00713EE2"/>
    <w:rsid w:val="0072199C"/>
    <w:rsid w:val="00722C9F"/>
    <w:rsid w:val="007253B8"/>
    <w:rsid w:val="00733E27"/>
    <w:rsid w:val="0073741F"/>
    <w:rsid w:val="0075249D"/>
    <w:rsid w:val="00762830"/>
    <w:rsid w:val="0076643F"/>
    <w:rsid w:val="007665A8"/>
    <w:rsid w:val="00777F63"/>
    <w:rsid w:val="007A3D9D"/>
    <w:rsid w:val="007A5817"/>
    <w:rsid w:val="007B05C4"/>
    <w:rsid w:val="007B10E6"/>
    <w:rsid w:val="007B60E9"/>
    <w:rsid w:val="007B6CC3"/>
    <w:rsid w:val="007B76D3"/>
    <w:rsid w:val="007C2DFB"/>
    <w:rsid w:val="007C3334"/>
    <w:rsid w:val="007D2B98"/>
    <w:rsid w:val="007E21BC"/>
    <w:rsid w:val="007E7C82"/>
    <w:rsid w:val="007F588D"/>
    <w:rsid w:val="00803F1C"/>
    <w:rsid w:val="00804D48"/>
    <w:rsid w:val="0080600E"/>
    <w:rsid w:val="00811BA4"/>
    <w:rsid w:val="00817612"/>
    <w:rsid w:val="00833441"/>
    <w:rsid w:val="008338A4"/>
    <w:rsid w:val="0083452D"/>
    <w:rsid w:val="00834D49"/>
    <w:rsid w:val="00837C45"/>
    <w:rsid w:val="00844730"/>
    <w:rsid w:val="00845574"/>
    <w:rsid w:val="008457C2"/>
    <w:rsid w:val="00855683"/>
    <w:rsid w:val="00856BCC"/>
    <w:rsid w:val="00857A19"/>
    <w:rsid w:val="00857A82"/>
    <w:rsid w:val="00873836"/>
    <w:rsid w:val="00876C41"/>
    <w:rsid w:val="008810D5"/>
    <w:rsid w:val="00885737"/>
    <w:rsid w:val="00886E55"/>
    <w:rsid w:val="008900F9"/>
    <w:rsid w:val="00890650"/>
    <w:rsid w:val="00897964"/>
    <w:rsid w:val="00897E12"/>
    <w:rsid w:val="00897E59"/>
    <w:rsid w:val="008A7E0F"/>
    <w:rsid w:val="008B12F5"/>
    <w:rsid w:val="008B2DF2"/>
    <w:rsid w:val="008C2240"/>
    <w:rsid w:val="008D768D"/>
    <w:rsid w:val="008E3759"/>
    <w:rsid w:val="008E3BFE"/>
    <w:rsid w:val="008E597C"/>
    <w:rsid w:val="008F1912"/>
    <w:rsid w:val="008F2C78"/>
    <w:rsid w:val="0090270B"/>
    <w:rsid w:val="009041DC"/>
    <w:rsid w:val="00907412"/>
    <w:rsid w:val="00911E46"/>
    <w:rsid w:val="0091239F"/>
    <w:rsid w:val="009134C8"/>
    <w:rsid w:val="00917B5A"/>
    <w:rsid w:val="00920A58"/>
    <w:rsid w:val="00920A8C"/>
    <w:rsid w:val="00932C73"/>
    <w:rsid w:val="00934A2C"/>
    <w:rsid w:val="00942FFB"/>
    <w:rsid w:val="00954A2D"/>
    <w:rsid w:val="0096706E"/>
    <w:rsid w:val="00974491"/>
    <w:rsid w:val="00975C4E"/>
    <w:rsid w:val="00981E43"/>
    <w:rsid w:val="00981FBA"/>
    <w:rsid w:val="00985D1E"/>
    <w:rsid w:val="00997BC5"/>
    <w:rsid w:val="009A4F41"/>
    <w:rsid w:val="009B381B"/>
    <w:rsid w:val="009B7F64"/>
    <w:rsid w:val="009D0885"/>
    <w:rsid w:val="009D1753"/>
    <w:rsid w:val="009D7611"/>
    <w:rsid w:val="009D7984"/>
    <w:rsid w:val="009E0B61"/>
    <w:rsid w:val="009E53DE"/>
    <w:rsid w:val="009E6CEB"/>
    <w:rsid w:val="009F7037"/>
    <w:rsid w:val="00A11212"/>
    <w:rsid w:val="00A11E44"/>
    <w:rsid w:val="00A16384"/>
    <w:rsid w:val="00A328B3"/>
    <w:rsid w:val="00A37F2E"/>
    <w:rsid w:val="00A50FCF"/>
    <w:rsid w:val="00A528D1"/>
    <w:rsid w:val="00A53003"/>
    <w:rsid w:val="00A609FA"/>
    <w:rsid w:val="00A610CD"/>
    <w:rsid w:val="00A65349"/>
    <w:rsid w:val="00A657A7"/>
    <w:rsid w:val="00A758AA"/>
    <w:rsid w:val="00A75CC3"/>
    <w:rsid w:val="00A814DE"/>
    <w:rsid w:val="00AA09A2"/>
    <w:rsid w:val="00AA7996"/>
    <w:rsid w:val="00AC19CB"/>
    <w:rsid w:val="00AC5785"/>
    <w:rsid w:val="00AE5488"/>
    <w:rsid w:val="00AE6F91"/>
    <w:rsid w:val="00AF5496"/>
    <w:rsid w:val="00AF5571"/>
    <w:rsid w:val="00B061CF"/>
    <w:rsid w:val="00B07341"/>
    <w:rsid w:val="00B26D24"/>
    <w:rsid w:val="00B30539"/>
    <w:rsid w:val="00B314DB"/>
    <w:rsid w:val="00B3240D"/>
    <w:rsid w:val="00B361F2"/>
    <w:rsid w:val="00B36AF0"/>
    <w:rsid w:val="00B3718B"/>
    <w:rsid w:val="00B40723"/>
    <w:rsid w:val="00B4632A"/>
    <w:rsid w:val="00B51266"/>
    <w:rsid w:val="00B530F1"/>
    <w:rsid w:val="00B660F3"/>
    <w:rsid w:val="00B771C0"/>
    <w:rsid w:val="00B979BA"/>
    <w:rsid w:val="00BA276C"/>
    <w:rsid w:val="00BA480F"/>
    <w:rsid w:val="00BA5DC5"/>
    <w:rsid w:val="00BB306F"/>
    <w:rsid w:val="00BD145B"/>
    <w:rsid w:val="00BD4B89"/>
    <w:rsid w:val="00BD5922"/>
    <w:rsid w:val="00BE7847"/>
    <w:rsid w:val="00BF02CB"/>
    <w:rsid w:val="00BF6FD8"/>
    <w:rsid w:val="00C0026F"/>
    <w:rsid w:val="00C03680"/>
    <w:rsid w:val="00C054DF"/>
    <w:rsid w:val="00C102FB"/>
    <w:rsid w:val="00C21762"/>
    <w:rsid w:val="00C21FEF"/>
    <w:rsid w:val="00C233F5"/>
    <w:rsid w:val="00C24543"/>
    <w:rsid w:val="00C256A2"/>
    <w:rsid w:val="00C25D94"/>
    <w:rsid w:val="00C509D1"/>
    <w:rsid w:val="00C51515"/>
    <w:rsid w:val="00C5660B"/>
    <w:rsid w:val="00C66B72"/>
    <w:rsid w:val="00C84082"/>
    <w:rsid w:val="00C87AC4"/>
    <w:rsid w:val="00C9567A"/>
    <w:rsid w:val="00C96FE1"/>
    <w:rsid w:val="00CA6CAB"/>
    <w:rsid w:val="00CB212D"/>
    <w:rsid w:val="00CB2660"/>
    <w:rsid w:val="00CB7E47"/>
    <w:rsid w:val="00CC5E90"/>
    <w:rsid w:val="00CC6463"/>
    <w:rsid w:val="00CD046C"/>
    <w:rsid w:val="00CE076C"/>
    <w:rsid w:val="00CE5199"/>
    <w:rsid w:val="00CE66D5"/>
    <w:rsid w:val="00CF2603"/>
    <w:rsid w:val="00CF637A"/>
    <w:rsid w:val="00D03D3B"/>
    <w:rsid w:val="00D04A2C"/>
    <w:rsid w:val="00D059DE"/>
    <w:rsid w:val="00D05ABD"/>
    <w:rsid w:val="00D13FCE"/>
    <w:rsid w:val="00D140AC"/>
    <w:rsid w:val="00D161A9"/>
    <w:rsid w:val="00D2110A"/>
    <w:rsid w:val="00D21316"/>
    <w:rsid w:val="00D306D1"/>
    <w:rsid w:val="00D30800"/>
    <w:rsid w:val="00D34786"/>
    <w:rsid w:val="00D358AF"/>
    <w:rsid w:val="00D37BFC"/>
    <w:rsid w:val="00D4526F"/>
    <w:rsid w:val="00D465BA"/>
    <w:rsid w:val="00D47A8E"/>
    <w:rsid w:val="00D51ECD"/>
    <w:rsid w:val="00D52D14"/>
    <w:rsid w:val="00D712D3"/>
    <w:rsid w:val="00D71422"/>
    <w:rsid w:val="00D72DC6"/>
    <w:rsid w:val="00D7558D"/>
    <w:rsid w:val="00D81D92"/>
    <w:rsid w:val="00D876F9"/>
    <w:rsid w:val="00DA2224"/>
    <w:rsid w:val="00DA7B5F"/>
    <w:rsid w:val="00DB19EE"/>
    <w:rsid w:val="00DC11E7"/>
    <w:rsid w:val="00DC7023"/>
    <w:rsid w:val="00DC769A"/>
    <w:rsid w:val="00DD3D86"/>
    <w:rsid w:val="00DD466A"/>
    <w:rsid w:val="00DD4AD2"/>
    <w:rsid w:val="00DD7874"/>
    <w:rsid w:val="00DE06DF"/>
    <w:rsid w:val="00DF1EC4"/>
    <w:rsid w:val="00DF654E"/>
    <w:rsid w:val="00E0340B"/>
    <w:rsid w:val="00E04A90"/>
    <w:rsid w:val="00E0551F"/>
    <w:rsid w:val="00E06F8E"/>
    <w:rsid w:val="00E219C7"/>
    <w:rsid w:val="00E2787F"/>
    <w:rsid w:val="00E4118C"/>
    <w:rsid w:val="00E43157"/>
    <w:rsid w:val="00E461CE"/>
    <w:rsid w:val="00E51FA0"/>
    <w:rsid w:val="00E57951"/>
    <w:rsid w:val="00E720CA"/>
    <w:rsid w:val="00E84EB5"/>
    <w:rsid w:val="00E85662"/>
    <w:rsid w:val="00E8789F"/>
    <w:rsid w:val="00E95E02"/>
    <w:rsid w:val="00E97B71"/>
    <w:rsid w:val="00EA2EBE"/>
    <w:rsid w:val="00EA3D34"/>
    <w:rsid w:val="00EB29C8"/>
    <w:rsid w:val="00EB2B1F"/>
    <w:rsid w:val="00EB454D"/>
    <w:rsid w:val="00EB5397"/>
    <w:rsid w:val="00EC7D62"/>
    <w:rsid w:val="00ED3F98"/>
    <w:rsid w:val="00ED549D"/>
    <w:rsid w:val="00ED76BE"/>
    <w:rsid w:val="00EE00E9"/>
    <w:rsid w:val="00EE04BF"/>
    <w:rsid w:val="00EF619B"/>
    <w:rsid w:val="00F00B55"/>
    <w:rsid w:val="00F02AD1"/>
    <w:rsid w:val="00F2185D"/>
    <w:rsid w:val="00F253CC"/>
    <w:rsid w:val="00F37106"/>
    <w:rsid w:val="00F43E4D"/>
    <w:rsid w:val="00F519CF"/>
    <w:rsid w:val="00F56BA5"/>
    <w:rsid w:val="00F60E22"/>
    <w:rsid w:val="00F81395"/>
    <w:rsid w:val="00F81BB8"/>
    <w:rsid w:val="00F86600"/>
    <w:rsid w:val="00F917D1"/>
    <w:rsid w:val="00F9653B"/>
    <w:rsid w:val="00FA7AF4"/>
    <w:rsid w:val="00FB27BC"/>
    <w:rsid w:val="00FB62CF"/>
    <w:rsid w:val="00FB718E"/>
    <w:rsid w:val="00FD3C3B"/>
    <w:rsid w:val="00FD6EF5"/>
    <w:rsid w:val="00FE07DD"/>
    <w:rsid w:val="00FE6B45"/>
    <w:rsid w:val="00FF55F3"/>
    <w:rsid w:val="00FF5851"/>
    <w:rsid w:val="00FF623C"/>
    <w:rsid w:val="00FF7B79"/>
    <w:rsid w:val="00FF7D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lang w:val="pt-BR" w:eastAsia="pt-B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locked="1"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4C31"/>
    <w:rPr>
      <w:sz w:val="24"/>
      <w:szCs w:val="24"/>
      <w:lang w:val="en-US" w:eastAsia="en-US"/>
    </w:rPr>
  </w:style>
  <w:style w:type="paragraph" w:styleId="Heading1">
    <w:name w:val="heading 1"/>
    <w:basedOn w:val="Normal"/>
    <w:next w:val="Normal"/>
    <w:link w:val="Heading1Char"/>
    <w:uiPriority w:val="99"/>
    <w:qFormat/>
    <w:rsid w:val="00D81D92"/>
    <w:pPr>
      <w:keepNext/>
      <w:keepLines/>
      <w:numPr>
        <w:numId w:val="49"/>
      </w:numPr>
      <w:spacing w:before="480"/>
      <w:outlineLvl w:val="0"/>
    </w:pPr>
    <w:rPr>
      <w:rFonts w:ascii="Cambria" w:eastAsia="MS Gothic" w:hAnsi="Cambria" w:cs="Cambria"/>
      <w:b/>
      <w:bCs/>
      <w:color w:val="365F91"/>
      <w:sz w:val="28"/>
      <w:szCs w:val="28"/>
    </w:rPr>
  </w:style>
  <w:style w:type="paragraph" w:styleId="Heading2">
    <w:name w:val="heading 2"/>
    <w:basedOn w:val="Normal"/>
    <w:next w:val="Normal"/>
    <w:link w:val="Heading2Char"/>
    <w:uiPriority w:val="99"/>
    <w:qFormat/>
    <w:rsid w:val="00DF1EC4"/>
    <w:pPr>
      <w:keepNext/>
      <w:spacing w:before="240" w:after="60"/>
      <w:outlineLvl w:val="1"/>
    </w:pPr>
    <w:rPr>
      <w:rFonts w:ascii="Arial" w:eastAsia="Times New Roman" w:hAnsi="Arial" w:cs="Arial"/>
      <w:b/>
      <w:bCs/>
      <w:i/>
      <w:iCs/>
      <w:sz w:val="28"/>
      <w:szCs w:val="28"/>
    </w:rPr>
  </w:style>
  <w:style w:type="paragraph" w:styleId="Heading3">
    <w:name w:val="heading 3"/>
    <w:basedOn w:val="Normal"/>
    <w:next w:val="Normal"/>
    <w:link w:val="Heading3Char"/>
    <w:uiPriority w:val="99"/>
    <w:qFormat/>
    <w:rsid w:val="00DF1EC4"/>
    <w:pPr>
      <w:keepNext/>
      <w:spacing w:before="240" w:after="60"/>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D81D92"/>
    <w:rPr>
      <w:rFonts w:ascii="Cambria" w:eastAsia="MS Gothic" w:hAnsi="Cambria" w:cs="Cambria"/>
      <w:b/>
      <w:bCs/>
      <w:color w:val="365F91"/>
      <w:sz w:val="28"/>
      <w:szCs w:val="28"/>
      <w:lang w:val="en-US" w:eastAsia="en-US"/>
    </w:rPr>
  </w:style>
  <w:style w:type="character" w:customStyle="1" w:styleId="Heading2Char">
    <w:name w:val="Heading 2 Char"/>
    <w:link w:val="Heading2"/>
    <w:uiPriority w:val="99"/>
    <w:locked/>
    <w:rsid w:val="00DF1EC4"/>
    <w:rPr>
      <w:rFonts w:ascii="Arial" w:hAnsi="Arial" w:cs="Arial"/>
      <w:b/>
      <w:bCs/>
      <w:i/>
      <w:iCs/>
      <w:sz w:val="28"/>
      <w:szCs w:val="28"/>
      <w:lang w:val="en-US" w:eastAsia="en-US"/>
    </w:rPr>
  </w:style>
  <w:style w:type="character" w:customStyle="1" w:styleId="Heading3Char">
    <w:name w:val="Heading 3 Char"/>
    <w:link w:val="Heading3"/>
    <w:uiPriority w:val="99"/>
    <w:locked/>
    <w:rsid w:val="00DF1EC4"/>
    <w:rPr>
      <w:rFonts w:ascii="Arial" w:hAnsi="Arial" w:cs="Arial"/>
      <w:b/>
      <w:bCs/>
      <w:sz w:val="26"/>
      <w:szCs w:val="26"/>
      <w:lang w:val="en-US" w:eastAsia="en-US"/>
    </w:rPr>
  </w:style>
  <w:style w:type="character" w:styleId="Hyperlink">
    <w:name w:val="Hyperlink"/>
    <w:uiPriority w:val="99"/>
    <w:rsid w:val="002B4C31"/>
    <w:rPr>
      <w:u w:val="single"/>
    </w:rPr>
  </w:style>
  <w:style w:type="paragraph" w:customStyle="1" w:styleId="Cabeceraypie">
    <w:name w:val="Cabecera y pie"/>
    <w:uiPriority w:val="99"/>
    <w:rsid w:val="002B4C31"/>
    <w:pPr>
      <w:tabs>
        <w:tab w:val="right" w:pos="9020"/>
      </w:tabs>
    </w:pPr>
    <w:rPr>
      <w:rFonts w:ascii="Helvetica" w:eastAsia="Times New Roman" w:hAnsi="Arial Unicode MS" w:cs="Helvetica"/>
      <w:color w:val="000000"/>
      <w:sz w:val="24"/>
      <w:szCs w:val="24"/>
      <w:lang w:val="es-ES" w:eastAsia="es-ES"/>
    </w:rPr>
  </w:style>
  <w:style w:type="paragraph" w:styleId="Footer">
    <w:name w:val="footer"/>
    <w:basedOn w:val="Normal"/>
    <w:link w:val="FooterChar"/>
    <w:uiPriority w:val="99"/>
    <w:rsid w:val="002B4C31"/>
    <w:pPr>
      <w:tabs>
        <w:tab w:val="center" w:pos="4513"/>
        <w:tab w:val="right" w:pos="9026"/>
      </w:tabs>
    </w:pPr>
    <w:rPr>
      <w:rFonts w:ascii="Cambria" w:hAnsi="Cambria" w:cs="Cambria"/>
      <w:color w:val="000000"/>
      <w:u w:color="000000"/>
      <w:lang w:eastAsia="es-ES"/>
    </w:rPr>
  </w:style>
  <w:style w:type="character" w:customStyle="1" w:styleId="FooterChar">
    <w:name w:val="Footer Char"/>
    <w:link w:val="Footer"/>
    <w:uiPriority w:val="99"/>
    <w:locked/>
    <w:rsid w:val="00A50FCF"/>
    <w:rPr>
      <w:rFonts w:ascii="Cambria" w:hAnsi="Cambria" w:cs="Cambria"/>
      <w:color w:val="000000"/>
      <w:sz w:val="24"/>
      <w:szCs w:val="24"/>
      <w:u w:color="000000"/>
      <w:lang w:val="en-US" w:eastAsia="es-ES"/>
    </w:rPr>
  </w:style>
  <w:style w:type="paragraph" w:customStyle="1" w:styleId="Cuerpo">
    <w:name w:val="Cuerpo"/>
    <w:uiPriority w:val="99"/>
    <w:rsid w:val="002B4C31"/>
    <w:rPr>
      <w:rFonts w:ascii="Cambria" w:hAnsi="Cambria" w:cs="Cambria"/>
      <w:color w:val="000000"/>
      <w:sz w:val="24"/>
      <w:szCs w:val="24"/>
      <w:u w:color="000000"/>
      <w:lang w:val="es-ES" w:eastAsia="es-ES"/>
    </w:rPr>
  </w:style>
  <w:style w:type="paragraph" w:styleId="BodyTextIndent">
    <w:name w:val="Body Text Indent"/>
    <w:basedOn w:val="Normal"/>
    <w:link w:val="BodyTextIndentChar"/>
    <w:uiPriority w:val="99"/>
    <w:rsid w:val="002B4C31"/>
    <w:pPr>
      <w:ind w:left="2160" w:hanging="720"/>
    </w:pPr>
    <w:rPr>
      <w:rFonts w:eastAsia="Times New Roman"/>
      <w:color w:val="000000"/>
      <w:u w:color="000000"/>
      <w:lang w:val="es-ES_tradnl" w:eastAsia="es-ES"/>
    </w:rPr>
  </w:style>
  <w:style w:type="character" w:customStyle="1" w:styleId="BodyTextIndentChar">
    <w:name w:val="Body Text Indent Char"/>
    <w:link w:val="BodyTextIndent"/>
    <w:uiPriority w:val="99"/>
    <w:semiHidden/>
    <w:locked/>
    <w:rsid w:val="006D7C37"/>
    <w:rPr>
      <w:sz w:val="24"/>
      <w:szCs w:val="24"/>
    </w:rPr>
  </w:style>
  <w:style w:type="paragraph" w:styleId="ListParagraph">
    <w:name w:val="List Paragraph"/>
    <w:basedOn w:val="Normal"/>
    <w:uiPriority w:val="99"/>
    <w:qFormat/>
    <w:rsid w:val="002B4C31"/>
    <w:pPr>
      <w:ind w:left="720"/>
    </w:pPr>
    <w:rPr>
      <w:rFonts w:ascii="Cambria" w:hAnsi="Cambria" w:cs="Cambria"/>
      <w:color w:val="000000"/>
      <w:u w:color="000000"/>
      <w:lang w:eastAsia="es-ES"/>
    </w:rPr>
  </w:style>
  <w:style w:type="paragraph" w:styleId="FootnoteText">
    <w:name w:val="footnote text"/>
    <w:aliases w:val="Ca,FA Fu,FA Fußnotentext,FA Fuﬂnotentext,Footnote Text Cha,Footnote Text Char Char,Footnote Text Char Char Char,Footnote Text Char Char Char Char,Footnote Text Char Char Char Char Char,Footnote reference,Texto nota pie Car,f"/>
    <w:basedOn w:val="Normal"/>
    <w:link w:val="FootnoteTextChar1"/>
    <w:uiPriority w:val="99"/>
    <w:semiHidden/>
    <w:rsid w:val="002B4C31"/>
    <w:rPr>
      <w:rFonts w:ascii="Calibri" w:hAnsi="Calibri" w:cs="Calibri"/>
      <w:color w:val="000000"/>
      <w:sz w:val="20"/>
      <w:szCs w:val="20"/>
      <w:u w:color="000000"/>
    </w:rPr>
  </w:style>
  <w:style w:type="character" w:customStyle="1" w:styleId="FootnoteTextChar">
    <w:name w:val="Footnote Text Char"/>
    <w:aliases w:val="Ca Char,FA Fu Char,FA Fußnotentext Char,FA Fuﬂnotentext Char,Footnote Text Cha Char,Footnote Text Char Char Char1,Footnote Text Char Char Char Char1,Footnote Text Char Char Char Char Char1,Footnote Text Char Char Char Char Char Char"/>
    <w:uiPriority w:val="99"/>
    <w:semiHidden/>
    <w:locked/>
    <w:rsid w:val="008F2C78"/>
    <w:rPr>
      <w:sz w:val="20"/>
      <w:szCs w:val="20"/>
    </w:rPr>
  </w:style>
  <w:style w:type="character" w:customStyle="1" w:styleId="FootnoteTextChar2">
    <w:name w:val="Footnote Text Char2"/>
    <w:aliases w:val="Ca Char2,FA Fu Char2,FA Fußnotentext Char2,FA Fuﬂnotentext Char2,Footnote Text Cha Char2,Footnote Text Char Char Char Char Char Char1,Footnote Text Char Char Char Char Char11,Footnote Text Char Char Char Char11,f Char"/>
    <w:uiPriority w:val="99"/>
    <w:semiHidden/>
    <w:locked/>
    <w:rsid w:val="006D7C37"/>
    <w:rPr>
      <w:sz w:val="20"/>
      <w:szCs w:val="20"/>
    </w:rPr>
  </w:style>
  <w:style w:type="paragraph" w:styleId="BalloonText">
    <w:name w:val="Balloon Text"/>
    <w:basedOn w:val="Normal"/>
    <w:link w:val="BalloonTextChar"/>
    <w:uiPriority w:val="99"/>
    <w:semiHidden/>
    <w:rsid w:val="009B381B"/>
    <w:rPr>
      <w:rFonts w:ascii="Tahoma" w:hAnsi="Tahoma" w:cs="Tahoma"/>
      <w:sz w:val="16"/>
      <w:szCs w:val="16"/>
    </w:rPr>
  </w:style>
  <w:style w:type="character" w:customStyle="1" w:styleId="BalloonTextChar">
    <w:name w:val="Balloon Text Char"/>
    <w:link w:val="BalloonText"/>
    <w:uiPriority w:val="99"/>
    <w:semiHidden/>
    <w:locked/>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tabs>
        <w:tab w:val="center" w:pos="4320"/>
        <w:tab w:val="right" w:pos="8640"/>
      </w:tabs>
      <w:snapToGrid w:val="0"/>
    </w:pPr>
    <w:rPr>
      <w:rFonts w:ascii="Univers" w:eastAsia="Times New Roman" w:hAnsi="Univers" w:cs="Univers"/>
    </w:rPr>
  </w:style>
  <w:style w:type="character" w:customStyle="1" w:styleId="HeaderChar">
    <w:name w:val="Header Char"/>
    <w:aliases w:val="encabezado Char"/>
    <w:link w:val="Header"/>
    <w:uiPriority w:val="99"/>
    <w:locked/>
    <w:rsid w:val="00D81D92"/>
    <w:rPr>
      <w:rFonts w:ascii="Univers" w:hAnsi="Univers" w:cs="Univers"/>
      <w:sz w:val="24"/>
      <w:szCs w:val="24"/>
      <w:lang w:val="en-US" w:eastAsia="en-US"/>
    </w:rPr>
  </w:style>
  <w:style w:type="table" w:styleId="MediumShading1-Accent1">
    <w:name w:val="Medium Shading 1 Accent 1"/>
    <w:basedOn w:val="TableNormal"/>
    <w:uiPriority w:val="99"/>
    <w:rsid w:val="006A17D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TOC2">
    <w:name w:val="toc 2"/>
    <w:basedOn w:val="Normal"/>
    <w:next w:val="Normal"/>
    <w:autoRedefine/>
    <w:uiPriority w:val="99"/>
    <w:semiHidden/>
    <w:rsid w:val="005C4225"/>
    <w:pPr>
      <w:tabs>
        <w:tab w:val="left" w:pos="1440"/>
        <w:tab w:val="right" w:leader="dot" w:pos="9350"/>
      </w:tabs>
      <w:spacing w:after="100"/>
      <w:ind w:left="1440" w:hanging="720"/>
    </w:pPr>
  </w:style>
  <w:style w:type="paragraph" w:styleId="TOC1">
    <w:name w:val="toc 1"/>
    <w:basedOn w:val="Normal"/>
    <w:next w:val="Normal"/>
    <w:autoRedefine/>
    <w:uiPriority w:val="99"/>
    <w:semiHidden/>
    <w:rsid w:val="005C4225"/>
    <w:pPr>
      <w:spacing w:after="100"/>
    </w:pPr>
    <w:rPr>
      <w:rFonts w:ascii="Calibri" w:hAnsi="Calibri" w:cs="Calibri"/>
      <w:sz w:val="22"/>
      <w:szCs w:val="22"/>
    </w:rPr>
  </w:style>
  <w:style w:type="paragraph" w:styleId="TOC3">
    <w:name w:val="toc 3"/>
    <w:basedOn w:val="Normal"/>
    <w:next w:val="Normal"/>
    <w:autoRedefine/>
    <w:uiPriority w:val="99"/>
    <w:semiHidden/>
    <w:rsid w:val="005C4225"/>
    <w:pPr>
      <w:tabs>
        <w:tab w:val="left" w:pos="880"/>
        <w:tab w:val="right" w:leader="dot" w:pos="9350"/>
      </w:tabs>
      <w:spacing w:after="100"/>
      <w:ind w:left="2160" w:hanging="720"/>
    </w:pPr>
  </w:style>
  <w:style w:type="paragraph" w:styleId="TOC4">
    <w:name w:val="toc 4"/>
    <w:basedOn w:val="Normal"/>
    <w:next w:val="Normal"/>
    <w:autoRedefine/>
    <w:uiPriority w:val="99"/>
    <w:semiHidden/>
    <w:rsid w:val="005C4225"/>
    <w:pPr>
      <w:spacing w:after="100"/>
      <w:ind w:left="720"/>
    </w:pPr>
  </w:style>
  <w:style w:type="character" w:styleId="PageNumber">
    <w:name w:val="page number"/>
    <w:basedOn w:val="DefaultParagraphFont"/>
    <w:uiPriority w:val="99"/>
    <w:rsid w:val="00040C3A"/>
  </w:style>
  <w:style w:type="character" w:styleId="FootnoteReference">
    <w:name w:val="footnote reference"/>
    <w:aliases w:val="16 Point,4_G,Appel note de bas de page,BVI fnr,Footnote,Footnote number,Footnote symbol,Footnotes refss,Ref,Ref. de nota al pie.,Superscript 6 Point,Texto de nota al pie,Texto nota al pie,de nota al pie,f1,norm"/>
    <w:uiPriority w:val="99"/>
    <w:semiHidden/>
    <w:rsid w:val="000F35ED"/>
    <w:rPr>
      <w:vertAlign w:val="superscript"/>
    </w:rPr>
  </w:style>
  <w:style w:type="paragraph" w:styleId="BodyTextIndent2">
    <w:name w:val="Body Text Indent 2"/>
    <w:basedOn w:val="Normal"/>
    <w:link w:val="BodyTextIndent2Char"/>
    <w:uiPriority w:val="99"/>
    <w:semiHidden/>
    <w:rsid w:val="000F35ED"/>
    <w:pPr>
      <w:spacing w:after="120" w:line="480" w:lineRule="auto"/>
      <w:ind w:left="360"/>
    </w:pPr>
  </w:style>
  <w:style w:type="character" w:customStyle="1" w:styleId="BodyTextIndent2Char">
    <w:name w:val="Body Text Indent 2 Char"/>
    <w:link w:val="BodyTextIndent2"/>
    <w:uiPriority w:val="99"/>
    <w:semiHidden/>
    <w:locked/>
    <w:rsid w:val="000F35ED"/>
    <w:rPr>
      <w:sz w:val="24"/>
      <w:szCs w:val="24"/>
      <w:lang w:val="en-US" w:eastAsia="en-US"/>
    </w:rPr>
  </w:style>
  <w:style w:type="paragraph" w:styleId="BodyText">
    <w:name w:val="Body Text"/>
    <w:basedOn w:val="Normal"/>
    <w:link w:val="BodyTextChar"/>
    <w:uiPriority w:val="99"/>
    <w:semiHidden/>
    <w:rsid w:val="0031535D"/>
    <w:pPr>
      <w:spacing w:after="120"/>
    </w:pPr>
  </w:style>
  <w:style w:type="character" w:customStyle="1" w:styleId="BodyTextChar">
    <w:name w:val="Body Text Char"/>
    <w:link w:val="BodyText"/>
    <w:uiPriority w:val="99"/>
    <w:semiHidden/>
    <w:locked/>
    <w:rsid w:val="0031535D"/>
    <w:rPr>
      <w:sz w:val="24"/>
      <w:szCs w:val="24"/>
      <w:lang w:val="en-US" w:eastAsia="en-US"/>
    </w:rPr>
  </w:style>
  <w:style w:type="character" w:customStyle="1" w:styleId="FootnoteTextChar1">
    <w:name w:val="Footnote Text Char1"/>
    <w:aliases w:val="Ca Char1,FA Fu Char1,FA Fußnotentext Char1,FA Fuﬂnotentext Char1,Footnote Text Cha Char1,Footnote Text Char Char Char2,Footnote Text Char Char Char Char2,Footnote Text Char Char Char Char Char2,Footnote reference Char,f Char1"/>
    <w:link w:val="FootnoteText"/>
    <w:uiPriority w:val="99"/>
    <w:locked/>
    <w:rsid w:val="0031535D"/>
    <w:rPr>
      <w:rFonts w:ascii="Calibri" w:hAnsi="Calibri" w:cs="Calibri"/>
      <w:color w:val="000000"/>
      <w:u w:color="000000"/>
      <w:lang w:val="en-US"/>
    </w:rPr>
  </w:style>
  <w:style w:type="paragraph" w:customStyle="1" w:styleId="Default">
    <w:name w:val="Default"/>
    <w:link w:val="DefaultChar"/>
    <w:uiPriority w:val="99"/>
    <w:rsid w:val="00DF1EC4"/>
    <w:pPr>
      <w:autoSpaceDE w:val="0"/>
      <w:autoSpaceDN w:val="0"/>
      <w:adjustRightInd w:val="0"/>
    </w:pPr>
    <w:rPr>
      <w:rFonts w:eastAsia="Times New Roman"/>
      <w:color w:val="000000"/>
      <w:sz w:val="24"/>
      <w:szCs w:val="24"/>
      <w:lang w:val="en-US" w:eastAsia="en-US"/>
    </w:rPr>
  </w:style>
  <w:style w:type="paragraph" w:styleId="EndnoteText">
    <w:name w:val="endnote text"/>
    <w:basedOn w:val="Normal"/>
    <w:link w:val="EndnoteTextChar"/>
    <w:uiPriority w:val="99"/>
    <w:semiHidden/>
    <w:rsid w:val="00DF1EC4"/>
    <w:pPr>
      <w:spacing w:before="100" w:beforeAutospacing="1" w:after="100" w:afterAutospacing="1"/>
    </w:pPr>
    <w:rPr>
      <w:rFonts w:eastAsia="Times New Roman"/>
    </w:rPr>
  </w:style>
  <w:style w:type="character" w:customStyle="1" w:styleId="EndnoteTextChar">
    <w:name w:val="Endnote Text Char"/>
    <w:link w:val="EndnoteText"/>
    <w:uiPriority w:val="99"/>
    <w:locked/>
    <w:rsid w:val="00DF1EC4"/>
    <w:rPr>
      <w:rFonts w:eastAsia="Times New Roman"/>
      <w:sz w:val="24"/>
      <w:szCs w:val="24"/>
      <w:lang w:val="en-US" w:eastAsia="en-US"/>
    </w:rPr>
  </w:style>
  <w:style w:type="character" w:customStyle="1" w:styleId="DefaultChar">
    <w:name w:val="Default Char"/>
    <w:link w:val="Default"/>
    <w:uiPriority w:val="99"/>
    <w:locked/>
    <w:rsid w:val="00DF1EC4"/>
    <w:rPr>
      <w:rFonts w:eastAsia="Times New Roman"/>
      <w:color w:val="000000"/>
      <w:sz w:val="24"/>
      <w:szCs w:val="24"/>
      <w:lang w:val="en-US" w:eastAsia="en-US"/>
    </w:rPr>
  </w:style>
  <w:style w:type="table" w:styleId="TableGrid">
    <w:name w:val="Table Grid"/>
    <w:basedOn w:val="TableNormal"/>
    <w:uiPriority w:val="9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99"/>
    <w:qFormat/>
    <w:rsid w:val="00487A47"/>
    <w:rPr>
      <w:i/>
      <w:iCs/>
    </w:rPr>
  </w:style>
  <w:style w:type="character" w:styleId="CommentReference">
    <w:name w:val="annotation reference"/>
    <w:uiPriority w:val="99"/>
    <w:semiHidden/>
    <w:rsid w:val="00C0026F"/>
    <w:rPr>
      <w:sz w:val="16"/>
      <w:szCs w:val="16"/>
    </w:rPr>
  </w:style>
  <w:style w:type="paragraph" w:styleId="CommentText">
    <w:name w:val="annotation text"/>
    <w:basedOn w:val="Normal"/>
    <w:link w:val="CommentTextChar"/>
    <w:uiPriority w:val="99"/>
    <w:semiHidden/>
    <w:rsid w:val="00C0026F"/>
    <w:rPr>
      <w:sz w:val="20"/>
      <w:szCs w:val="20"/>
    </w:rPr>
  </w:style>
  <w:style w:type="character" w:customStyle="1" w:styleId="CommentTextChar">
    <w:name w:val="Comment Text Char"/>
    <w:link w:val="CommentText"/>
    <w:uiPriority w:val="99"/>
    <w:semiHidden/>
    <w:locked/>
    <w:rsid w:val="00C0026F"/>
    <w:rPr>
      <w:lang w:val="en-US" w:eastAsia="en-US"/>
    </w:rPr>
  </w:style>
  <w:style w:type="paragraph" w:styleId="CommentSubject">
    <w:name w:val="annotation subject"/>
    <w:basedOn w:val="CommentText"/>
    <w:next w:val="CommentText"/>
    <w:link w:val="CommentSubjectChar"/>
    <w:uiPriority w:val="99"/>
    <w:semiHidden/>
    <w:rsid w:val="00C0026F"/>
    <w:rPr>
      <w:b/>
      <w:bCs/>
    </w:rPr>
  </w:style>
  <w:style w:type="character" w:customStyle="1" w:styleId="CommentSubjectChar">
    <w:name w:val="Comment Subject Char"/>
    <w:link w:val="CommentSubject"/>
    <w:uiPriority w:val="99"/>
    <w:semiHidden/>
    <w:locked/>
    <w:rsid w:val="00C0026F"/>
    <w:rPr>
      <w:b/>
      <w:bCs/>
      <w:lang w:val="en-US" w:eastAsia="en-US"/>
    </w:rPr>
  </w:style>
  <w:style w:type="numbering" w:customStyle="1" w:styleId="List16">
    <w:name w:val="List 16"/>
    <w:rsid w:val="00C75571"/>
    <w:pPr>
      <w:numPr>
        <w:numId w:val="9"/>
      </w:numPr>
    </w:pPr>
  </w:style>
  <w:style w:type="numbering" w:customStyle="1" w:styleId="List36">
    <w:name w:val="List 36"/>
    <w:rsid w:val="00C75571"/>
    <w:pPr>
      <w:numPr>
        <w:numId w:val="13"/>
      </w:numPr>
    </w:pPr>
  </w:style>
  <w:style w:type="numbering" w:customStyle="1" w:styleId="List25">
    <w:name w:val="List 25"/>
    <w:rsid w:val="00C75571"/>
    <w:pPr>
      <w:numPr>
        <w:numId w:val="14"/>
      </w:numPr>
    </w:pPr>
  </w:style>
  <w:style w:type="numbering" w:customStyle="1" w:styleId="List1">
    <w:name w:val="List 1"/>
    <w:rsid w:val="00C75571"/>
    <w:pPr>
      <w:numPr>
        <w:numId w:val="1"/>
      </w:numPr>
    </w:pPr>
  </w:style>
  <w:style w:type="numbering" w:customStyle="1" w:styleId="List11">
    <w:name w:val="List 11"/>
    <w:rsid w:val="00C75571"/>
    <w:pPr>
      <w:numPr>
        <w:numId w:val="6"/>
      </w:numPr>
    </w:pPr>
  </w:style>
  <w:style w:type="numbering" w:customStyle="1" w:styleId="List15">
    <w:name w:val="List 15"/>
    <w:rsid w:val="00C75571"/>
    <w:pPr>
      <w:numPr>
        <w:numId w:val="15"/>
      </w:numPr>
    </w:pPr>
  </w:style>
  <w:style w:type="numbering" w:customStyle="1" w:styleId="List14">
    <w:name w:val="List 14"/>
    <w:rsid w:val="00C75571"/>
    <w:pPr>
      <w:numPr>
        <w:numId w:val="16"/>
      </w:numPr>
    </w:pPr>
  </w:style>
  <w:style w:type="numbering" w:customStyle="1" w:styleId="List23">
    <w:name w:val="List 23"/>
    <w:rsid w:val="00C75571"/>
    <w:pPr>
      <w:numPr>
        <w:numId w:val="17"/>
      </w:numPr>
    </w:pPr>
  </w:style>
  <w:style w:type="numbering" w:customStyle="1" w:styleId="List19">
    <w:name w:val="List 19"/>
    <w:rsid w:val="00C75571"/>
    <w:pPr>
      <w:numPr>
        <w:numId w:val="18"/>
      </w:numPr>
    </w:pPr>
  </w:style>
  <w:style w:type="numbering" w:customStyle="1" w:styleId="List45">
    <w:name w:val="List 45"/>
    <w:rsid w:val="00C75571"/>
    <w:pPr>
      <w:numPr>
        <w:numId w:val="19"/>
      </w:numPr>
    </w:pPr>
  </w:style>
  <w:style w:type="numbering" w:customStyle="1" w:styleId="List40">
    <w:name w:val="List 40"/>
    <w:rsid w:val="00C75571"/>
    <w:pPr>
      <w:numPr>
        <w:numId w:val="20"/>
      </w:numPr>
    </w:pPr>
  </w:style>
  <w:style w:type="numbering" w:customStyle="1" w:styleId="List9">
    <w:name w:val="List 9"/>
    <w:rsid w:val="00C75571"/>
    <w:pPr>
      <w:numPr>
        <w:numId w:val="21"/>
      </w:numPr>
    </w:pPr>
  </w:style>
  <w:style w:type="numbering" w:customStyle="1" w:styleId="List43">
    <w:name w:val="List 43"/>
    <w:rsid w:val="00C75571"/>
    <w:pPr>
      <w:numPr>
        <w:numId w:val="22"/>
      </w:numPr>
    </w:pPr>
  </w:style>
  <w:style w:type="numbering" w:customStyle="1" w:styleId="List46">
    <w:name w:val="List 46"/>
    <w:rsid w:val="00C75571"/>
    <w:pPr>
      <w:numPr>
        <w:numId w:val="23"/>
      </w:numPr>
    </w:pPr>
  </w:style>
  <w:style w:type="numbering" w:customStyle="1" w:styleId="List35">
    <w:name w:val="List 35"/>
    <w:rsid w:val="00C75571"/>
    <w:pPr>
      <w:numPr>
        <w:numId w:val="7"/>
      </w:numPr>
    </w:pPr>
  </w:style>
  <w:style w:type="numbering" w:customStyle="1" w:styleId="List17">
    <w:name w:val="List 17"/>
    <w:rsid w:val="00C75571"/>
    <w:pPr>
      <w:numPr>
        <w:numId w:val="24"/>
      </w:numPr>
    </w:pPr>
  </w:style>
  <w:style w:type="numbering" w:customStyle="1" w:styleId="List33">
    <w:name w:val="List 33"/>
    <w:rsid w:val="00C75571"/>
    <w:pPr>
      <w:numPr>
        <w:numId w:val="25"/>
      </w:numPr>
    </w:pPr>
  </w:style>
  <w:style w:type="numbering" w:customStyle="1" w:styleId="List7">
    <w:name w:val="List 7"/>
    <w:rsid w:val="00C75571"/>
    <w:pPr>
      <w:numPr>
        <w:numId w:val="3"/>
      </w:numPr>
    </w:pPr>
  </w:style>
  <w:style w:type="numbering" w:customStyle="1" w:styleId="List18">
    <w:name w:val="List 18"/>
    <w:rsid w:val="00C75571"/>
    <w:pPr>
      <w:numPr>
        <w:numId w:val="26"/>
      </w:numPr>
    </w:pPr>
  </w:style>
  <w:style w:type="numbering" w:customStyle="1" w:styleId="List22">
    <w:name w:val="List 22"/>
    <w:rsid w:val="00C75571"/>
    <w:pPr>
      <w:numPr>
        <w:numId w:val="27"/>
      </w:numPr>
    </w:pPr>
  </w:style>
  <w:style w:type="numbering" w:customStyle="1" w:styleId="List47">
    <w:name w:val="List 47"/>
    <w:rsid w:val="00C75571"/>
    <w:pPr>
      <w:numPr>
        <w:numId w:val="28"/>
      </w:numPr>
    </w:pPr>
  </w:style>
  <w:style w:type="numbering" w:customStyle="1" w:styleId="List28">
    <w:name w:val="List 28"/>
    <w:rsid w:val="00C75571"/>
    <w:pPr>
      <w:numPr>
        <w:numId w:val="29"/>
      </w:numPr>
    </w:pPr>
  </w:style>
  <w:style w:type="numbering" w:customStyle="1" w:styleId="List10">
    <w:name w:val="List 10"/>
    <w:rsid w:val="00C75571"/>
    <w:pPr>
      <w:numPr>
        <w:numId w:val="5"/>
      </w:numPr>
    </w:pPr>
  </w:style>
  <w:style w:type="numbering" w:customStyle="1" w:styleId="List0">
    <w:name w:val="List 0"/>
    <w:rsid w:val="00C75571"/>
    <w:pPr>
      <w:numPr>
        <w:numId w:val="30"/>
      </w:numPr>
    </w:pPr>
  </w:style>
  <w:style w:type="numbering" w:customStyle="1" w:styleId="List30">
    <w:name w:val="List 30"/>
    <w:rsid w:val="00C75571"/>
    <w:pPr>
      <w:numPr>
        <w:numId w:val="31"/>
      </w:numPr>
    </w:pPr>
  </w:style>
  <w:style w:type="numbering" w:customStyle="1" w:styleId="List29">
    <w:name w:val="List 29"/>
    <w:rsid w:val="00C75571"/>
    <w:pPr>
      <w:numPr>
        <w:numId w:val="32"/>
      </w:numPr>
    </w:pPr>
  </w:style>
  <w:style w:type="numbering" w:customStyle="1" w:styleId="List38">
    <w:name w:val="List 38"/>
    <w:rsid w:val="00C75571"/>
    <w:pPr>
      <w:numPr>
        <w:numId w:val="33"/>
      </w:numPr>
    </w:pPr>
  </w:style>
  <w:style w:type="numbering" w:customStyle="1" w:styleId="List12">
    <w:name w:val="List 12"/>
    <w:rsid w:val="00C75571"/>
    <w:pPr>
      <w:numPr>
        <w:numId w:val="34"/>
      </w:numPr>
    </w:pPr>
  </w:style>
  <w:style w:type="numbering" w:customStyle="1" w:styleId="List50">
    <w:name w:val="List 50"/>
    <w:rsid w:val="00C75571"/>
    <w:pPr>
      <w:numPr>
        <w:numId w:val="35"/>
      </w:numPr>
    </w:pPr>
  </w:style>
  <w:style w:type="numbering" w:customStyle="1" w:styleId="List34">
    <w:name w:val="List 34"/>
    <w:rsid w:val="00C75571"/>
    <w:pPr>
      <w:numPr>
        <w:numId w:val="10"/>
      </w:numPr>
    </w:pPr>
  </w:style>
  <w:style w:type="numbering" w:customStyle="1" w:styleId="List42">
    <w:name w:val="List 42"/>
    <w:rsid w:val="00C75571"/>
    <w:pPr>
      <w:numPr>
        <w:numId w:val="11"/>
      </w:numPr>
    </w:pPr>
  </w:style>
  <w:style w:type="numbering" w:customStyle="1" w:styleId="List49">
    <w:name w:val="List 49"/>
    <w:rsid w:val="00C75571"/>
    <w:pPr>
      <w:numPr>
        <w:numId w:val="36"/>
      </w:numPr>
    </w:pPr>
  </w:style>
  <w:style w:type="numbering" w:customStyle="1" w:styleId="List44">
    <w:name w:val="List 44"/>
    <w:rsid w:val="00C75571"/>
    <w:pPr>
      <w:numPr>
        <w:numId w:val="37"/>
      </w:numPr>
    </w:pPr>
  </w:style>
  <w:style w:type="numbering" w:customStyle="1" w:styleId="List21">
    <w:name w:val="List 21"/>
    <w:rsid w:val="00C75571"/>
    <w:pPr>
      <w:numPr>
        <w:numId w:val="48"/>
      </w:numPr>
    </w:pPr>
  </w:style>
  <w:style w:type="numbering" w:customStyle="1" w:styleId="List52">
    <w:name w:val="List 52"/>
    <w:rsid w:val="00C75571"/>
    <w:pPr>
      <w:numPr>
        <w:numId w:val="8"/>
      </w:numPr>
    </w:pPr>
  </w:style>
  <w:style w:type="numbering" w:customStyle="1" w:styleId="List24">
    <w:name w:val="List 24"/>
    <w:rsid w:val="00C75571"/>
    <w:pPr>
      <w:numPr>
        <w:numId w:val="12"/>
      </w:numPr>
    </w:pPr>
  </w:style>
  <w:style w:type="numbering" w:customStyle="1" w:styleId="List51">
    <w:name w:val="List 51"/>
    <w:rsid w:val="00C75571"/>
    <w:pPr>
      <w:numPr>
        <w:numId w:val="50"/>
      </w:numPr>
    </w:pPr>
  </w:style>
  <w:style w:type="numbering" w:customStyle="1" w:styleId="List27">
    <w:name w:val="List 27"/>
    <w:rsid w:val="00C75571"/>
    <w:pPr>
      <w:numPr>
        <w:numId w:val="38"/>
      </w:numPr>
    </w:pPr>
  </w:style>
  <w:style w:type="numbering" w:customStyle="1" w:styleId="List8">
    <w:name w:val="List 8"/>
    <w:rsid w:val="00C75571"/>
    <w:pPr>
      <w:numPr>
        <w:numId w:val="4"/>
      </w:numPr>
    </w:pPr>
  </w:style>
  <w:style w:type="numbering" w:customStyle="1" w:styleId="List13">
    <w:name w:val="List 13"/>
    <w:rsid w:val="00C75571"/>
    <w:pPr>
      <w:numPr>
        <w:numId w:val="39"/>
      </w:numPr>
    </w:pPr>
  </w:style>
  <w:style w:type="numbering" w:customStyle="1" w:styleId="List20">
    <w:name w:val="List 20"/>
    <w:rsid w:val="00C75571"/>
    <w:pPr>
      <w:numPr>
        <w:numId w:val="40"/>
      </w:numPr>
    </w:pPr>
  </w:style>
  <w:style w:type="numbering" w:customStyle="1" w:styleId="List41">
    <w:name w:val="List 41"/>
    <w:rsid w:val="00C75571"/>
    <w:pPr>
      <w:numPr>
        <w:numId w:val="41"/>
      </w:numPr>
    </w:pPr>
  </w:style>
  <w:style w:type="numbering" w:customStyle="1" w:styleId="List31">
    <w:name w:val="List 31"/>
    <w:rsid w:val="00C75571"/>
    <w:pPr>
      <w:numPr>
        <w:numId w:val="42"/>
      </w:numPr>
    </w:pPr>
  </w:style>
  <w:style w:type="numbering" w:customStyle="1" w:styleId="List6">
    <w:name w:val="List 6"/>
    <w:rsid w:val="00C75571"/>
    <w:pPr>
      <w:numPr>
        <w:numId w:val="2"/>
      </w:numPr>
    </w:pPr>
  </w:style>
  <w:style w:type="numbering" w:customStyle="1" w:styleId="List39">
    <w:name w:val="List 39"/>
    <w:rsid w:val="00C75571"/>
    <w:pPr>
      <w:numPr>
        <w:numId w:val="43"/>
      </w:numPr>
    </w:pPr>
  </w:style>
  <w:style w:type="numbering" w:customStyle="1" w:styleId="List37">
    <w:name w:val="List 37"/>
    <w:rsid w:val="00C75571"/>
    <w:pPr>
      <w:numPr>
        <w:numId w:val="44"/>
      </w:numPr>
    </w:pPr>
  </w:style>
  <w:style w:type="numbering" w:customStyle="1" w:styleId="List32">
    <w:name w:val="List 32"/>
    <w:rsid w:val="00C75571"/>
    <w:pPr>
      <w:numPr>
        <w:numId w:val="45"/>
      </w:numPr>
    </w:pPr>
  </w:style>
  <w:style w:type="numbering" w:customStyle="1" w:styleId="List26">
    <w:name w:val="List 26"/>
    <w:rsid w:val="00C75571"/>
    <w:pPr>
      <w:numPr>
        <w:numId w:val="46"/>
      </w:numPr>
    </w:pPr>
  </w:style>
  <w:style w:type="numbering" w:customStyle="1" w:styleId="List48">
    <w:name w:val="List 48"/>
    <w:rsid w:val="00C75571"/>
    <w:pPr>
      <w:numPr>
        <w:numId w:val="4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2.png"/><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www4.tjmg.jus.br/juridico/sf/proc_movimentacoes.jsp?comrCodigo=702&amp;numero=1&amp;listaProcessos=03082263" TargetMode="External"/></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2249</Words>
  <Characters>11947</Characters>
  <Application>Microsoft Office Word</Application>
  <DocSecurity>0</DocSecurity>
  <Lines>234</Lines>
  <Paragraphs>68</Paragraphs>
  <ScaleCrop>false</ScaleCrop>
  <Company/>
  <LinksUpToDate>false</LinksUpToDate>
  <CharactersWithSpaces>14128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117/20</dc:title>
  <dc:subject/>
  <dc:creator/>
  <cp:keywords/>
  <dc:description/>
  <cp:lastModifiedBy/>
  <cp:revision>1</cp:revision>
  <dcterms:created xsi:type="dcterms:W3CDTF">2020-07-13T14:25:00Z</dcterms:created>
  <dcterms:modified xsi:type="dcterms:W3CDTF">2020-07-13T14:26:00Z</dcterms:modified>
</cp:coreProperties>
</file>